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0"/>
        <w:gridCol w:w="1369"/>
        <w:gridCol w:w="4410"/>
      </w:tblGrid>
      <w:tr w:rsidR="00994FCC" w:rsidTr="00994FCC">
        <w:trPr>
          <w:cantSplit/>
          <w:trHeight w:val="1864"/>
        </w:trPr>
        <w:tc>
          <w:tcPr>
            <w:tcW w:w="44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94FCC" w:rsidRDefault="00994FCC">
            <w:pPr>
              <w:pStyle w:val="1"/>
              <w:spacing w:line="25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bookmarkStart w:id="0" w:name="_GoBack"/>
            <w:bookmarkEnd w:id="0"/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Республика Саха (Якутия)</w:t>
            </w:r>
          </w:p>
          <w:p w:rsidR="00994FCC" w:rsidRDefault="00994FCC">
            <w:pPr>
              <w:pStyle w:val="1"/>
              <w:spacing w:line="25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Окружная Администрация</w:t>
            </w:r>
          </w:p>
          <w:p w:rsidR="00994FCC" w:rsidRDefault="00994FCC">
            <w:pPr>
              <w:pStyle w:val="1"/>
              <w:spacing w:line="25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Городского округа  </w:t>
            </w:r>
          </w:p>
          <w:p w:rsidR="00994FCC" w:rsidRDefault="00994FCC">
            <w:pPr>
              <w:pStyle w:val="1"/>
              <w:spacing w:line="25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994FCC" w:rsidRDefault="00994FCC">
            <w:pPr>
              <w:pStyle w:val="1"/>
              <w:spacing w:line="256" w:lineRule="auto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994FCC" w:rsidRDefault="00994FCC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ПОСТАНОВЛЕНИЕ</w:t>
            </w:r>
          </w:p>
          <w:p w:rsidR="00994FCC" w:rsidRDefault="00994FCC">
            <w:pPr>
              <w:pStyle w:val="1"/>
              <w:spacing w:line="25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994FCC" w:rsidRDefault="00994FCC">
            <w:pPr>
              <w:pStyle w:val="1"/>
              <w:spacing w:line="256" w:lineRule="auto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noProof/>
                <w:sz w:val="24"/>
                <w:szCs w:val="24"/>
              </w:rPr>
              <w:drawing>
                <wp:inline distT="0" distB="0" distL="0" distR="0">
                  <wp:extent cx="603250" cy="793750"/>
                  <wp:effectExtent l="0" t="0" r="6350" b="6350"/>
                  <wp:docPr id="1" name="Рисунок 1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994FCC" w:rsidRDefault="00994FCC">
            <w:pPr>
              <w:pStyle w:val="1"/>
              <w:spacing w:line="25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Саха 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θр</w:t>
            </w:r>
            <w:r>
              <w:rPr>
                <w:rFonts w:ascii="Bookman Old Style" w:hAnsi="Bookman Old Style"/>
                <w:b/>
                <w:sz w:val="16"/>
                <w:szCs w:val="16"/>
                <w:lang w:eastAsia="en-US"/>
              </w:rPr>
              <w:t>θ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 w:eastAsia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  <w:lang w:eastAsia="en-US"/>
              </w:rPr>
              <w:t>кэтэ</w:t>
            </w:r>
          </w:p>
          <w:p w:rsidR="00994FCC" w:rsidRDefault="00994FCC">
            <w:pPr>
              <w:pStyle w:val="1"/>
              <w:spacing w:line="25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"Жатай"</w:t>
            </w:r>
          </w:p>
          <w:p w:rsidR="00994FCC" w:rsidRDefault="00994FCC">
            <w:pPr>
              <w:pStyle w:val="1"/>
              <w:spacing w:line="256" w:lineRule="auto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 xml:space="preserve"> Куораттаађы уокуругун Уокуруктаађы Дьа</w:t>
            </w:r>
            <w:r>
              <w:rPr>
                <w:rFonts w:ascii="Bookman Old Style" w:hAnsi="Bookman Old Style"/>
                <w:b/>
                <w:sz w:val="22"/>
                <w:szCs w:val="22"/>
                <w:lang w:val="en-US" w:eastAsia="en-US"/>
              </w:rPr>
              <w:t>h</w:t>
            </w: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алтата</w:t>
            </w:r>
          </w:p>
          <w:p w:rsidR="00994FCC" w:rsidRDefault="00994FCC">
            <w:pPr>
              <w:pStyle w:val="1"/>
              <w:spacing w:line="256" w:lineRule="auto"/>
              <w:ind w:right="1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</w:p>
          <w:p w:rsidR="00994FCC" w:rsidRDefault="00994FCC">
            <w:pPr>
              <w:pStyle w:val="1"/>
              <w:spacing w:after="120" w:line="256" w:lineRule="auto"/>
              <w:jc w:val="center"/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  <w:lang w:eastAsia="en-US"/>
              </w:rPr>
              <w:t>УУРААХ</w:t>
            </w:r>
          </w:p>
        </w:tc>
      </w:tr>
      <w:tr w:rsidR="00994FCC" w:rsidTr="00994FCC">
        <w:trPr>
          <w:cantSplit/>
          <w:trHeight w:val="88"/>
        </w:trPr>
        <w:tc>
          <w:tcPr>
            <w:tcW w:w="10189" w:type="dxa"/>
            <w:gridSpan w:val="3"/>
            <w:vAlign w:val="center"/>
            <w:hideMark/>
          </w:tcPr>
          <w:p w:rsidR="00994FCC" w:rsidRDefault="00994FCC">
            <w:pPr>
              <w:pStyle w:val="1"/>
              <w:pBdr>
                <w:top w:val="single" w:sz="4" w:space="1" w:color="auto"/>
              </w:pBdr>
              <w:spacing w:line="256" w:lineRule="auto"/>
              <w:ind w:left="1" w:right="1" w:firstLine="1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                 </w:t>
            </w:r>
          </w:p>
          <w:p w:rsidR="00994FCC" w:rsidRDefault="00994FCC" w:rsidP="00994FCC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п. Жатай                                                                                      </w:t>
            </w:r>
            <w:r>
              <w:rPr>
                <w:sz w:val="24"/>
                <w:szCs w:val="24"/>
                <w:lang w:eastAsia="en-US"/>
              </w:rPr>
              <w:t xml:space="preserve">                  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   </w:t>
            </w:r>
            <w:r>
              <w:rPr>
                <w:sz w:val="24"/>
                <w:szCs w:val="24"/>
                <w:lang w:eastAsia="en-US"/>
              </w:rPr>
              <w:t>«</w:t>
            </w:r>
            <w:proofErr w:type="gramEnd"/>
            <w:r>
              <w:rPr>
                <w:sz w:val="24"/>
                <w:szCs w:val="24"/>
                <w:lang w:eastAsia="en-US"/>
              </w:rPr>
              <w:t>26</w:t>
            </w:r>
            <w:r>
              <w:rPr>
                <w:sz w:val="24"/>
                <w:szCs w:val="24"/>
                <w:lang w:eastAsia="en-US"/>
              </w:rPr>
              <w:t>»</w:t>
            </w:r>
            <w:r>
              <w:rPr>
                <w:sz w:val="24"/>
                <w:szCs w:val="24"/>
                <w:lang w:eastAsia="en-US"/>
              </w:rPr>
              <w:t xml:space="preserve"> марта </w:t>
            </w:r>
            <w:r>
              <w:rPr>
                <w:sz w:val="24"/>
                <w:szCs w:val="24"/>
                <w:lang w:eastAsia="en-US"/>
              </w:rPr>
              <w:t>2026 г.   №</w:t>
            </w:r>
            <w:r>
              <w:rPr>
                <w:sz w:val="24"/>
                <w:szCs w:val="24"/>
                <w:lang w:eastAsia="en-US"/>
              </w:rPr>
              <w:t xml:space="preserve"> 32-Г</w:t>
            </w:r>
          </w:p>
        </w:tc>
      </w:tr>
    </w:tbl>
    <w:p w:rsidR="00994FCC" w:rsidRDefault="00994FCC" w:rsidP="00994F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94FCC" w:rsidRDefault="00994FCC" w:rsidP="00994F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«О создании и содержании в целях гражданской обороны запасов материально-</w:t>
      </w:r>
    </w:p>
    <w:p w:rsidR="00994FCC" w:rsidRDefault="00994FCC" w:rsidP="00994F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технических, продовольственных, медицинских и иных средств для обеспечения</w:t>
      </w:r>
    </w:p>
    <w:p w:rsidR="00994FCC" w:rsidRDefault="00994FCC" w:rsidP="00994FC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по гражданской обороне»</w:t>
      </w:r>
    </w:p>
    <w:p w:rsidR="00994FCC" w:rsidRDefault="00994FCC" w:rsidP="00994FC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12 февраля 1998 года № 28-ФЗ «О гражданской обороне», Постановления Правительства РФ от 27 апреля 2000 года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Законом Республики Саха (Якутия) «О гражданской обороне в Республике Саха (Якутия)» 2005</w:t>
      </w:r>
      <w:r>
        <w:rPr>
          <w:rFonts w:ascii="Times New Roman" w:hAnsi="Times New Roman" w:cs="Times New Roman"/>
          <w:sz w:val="24"/>
          <w:szCs w:val="24"/>
        </w:rPr>
        <w:noBreakHyphen/>
        <w:t>З № 1569</w:t>
      </w:r>
      <w:r>
        <w:rPr>
          <w:rFonts w:ascii="Times New Roman" w:hAnsi="Times New Roman" w:cs="Times New Roman"/>
          <w:sz w:val="24"/>
          <w:szCs w:val="24"/>
        </w:rPr>
        <w:noBreakHyphen/>
        <w:t>V от 22 мая 2018 года для установления единых условий, принципов и способов оперативного проведения мероприятий гражданской обороны на территории Городского округа «Жатай»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Утвердить Положение о создании, содержании и использовании запасов материально-технических, продовольственных, медицинских средств и средств индивидуальной защиты на территории Городского округа «Жатай», для первоочередного жизнеобеспечения населения, пострадавшего в результате опасностей, возникающих в период мобилизации, в период действия военного положения в военное время, и оснащения аварийно-спасательных формирований, спасательных служб при проведении аварийно- спасательных и других неотложных работ в случае опасностей, возникающих в период мобилизации, в период действия военного положения, в военное время, согласно приложения № 1 к настоящему постановлению.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Рекомендовать руководителям организаций, предприятий и учреждений, расположенных на территории Городского округа «Жатай» независимо от форм собственности, создать запасы материально-технических, продовольственных, медицинских средств и средств индивидуальной защиты в целях первоочередного жизнеобеспечения населения, пострадавшего в результате опасностей, возникающих в период мобилизации, в период действия военного положения в военное время.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Разрешить использование в целях гражданской обороны резерва материальных ресурсов для ликвидации чрезвычайных ситуаций природного и техногенного характера на территории Городского округа «Жатай». Резерв создан Постановлением Главы Окружной Администрации Городского округа «Жатай» № 73-Г от 29.08.2023г. «О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«Жатай»».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Признать утратившим силу Постановление Главы Окружной Администрации Городского округа «Жатай» № 75-Г от 25.09.2023г. «О создании и содержании в целях гражданской обороны </w:t>
      </w:r>
      <w:r>
        <w:rPr>
          <w:rFonts w:ascii="Times New Roman" w:hAnsi="Times New Roman" w:cs="Times New Roman"/>
          <w:sz w:val="24"/>
          <w:szCs w:val="24"/>
        </w:rPr>
        <w:lastRenderedPageBreak/>
        <w:t>запасов материально-технических, продовольственных, медицинских и иных средств для обеспечения мероприятий по гражданской обороне на территории Городского округа «Жатай»».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Утвердить номенклатуру запасов материально-технических, продовольственных, медицинских и иных средств, созданных в целях первоочередного жизнеобеспечения населения, пострадавшего в результате опасностей, возникающих в период мобилизации, в период действия военного положения в военное время и оснащения аварийно-спасательных формирований, спасательных служб при проведении аварийно-спасательных и других неотложных работ в случае опасностей, возникающих в период мобилизации, в период действия военного положения, в военное время, согласно приложения № 2 к настоящему постановлению.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Опубликовать настоящее постановление в официальных средствах массовой информации.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7.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FCC" w:rsidRDefault="00994FCC" w:rsidP="00994FCC">
      <w:pPr>
        <w:tabs>
          <w:tab w:val="left" w:pos="709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                                                                          Е.Н.Исаева</w:t>
      </w:r>
    </w:p>
    <w:p w:rsidR="00BF50F5" w:rsidRDefault="00BF50F5"/>
    <w:sectPr w:rsidR="00BF50F5" w:rsidSect="00994FC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6F2"/>
    <w:rsid w:val="005C16F2"/>
    <w:rsid w:val="00994FCC"/>
    <w:rsid w:val="00B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D3E67"/>
  <w15:chartTrackingRefBased/>
  <w15:docId w15:val="{16C44B7D-368F-4396-816E-00A5A67C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FC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94F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2</cp:revision>
  <dcterms:created xsi:type="dcterms:W3CDTF">2026-03-27T00:28:00Z</dcterms:created>
  <dcterms:modified xsi:type="dcterms:W3CDTF">2026-03-27T00:29:00Z</dcterms:modified>
</cp:coreProperties>
</file>