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C56D86">
        <w:rPr>
          <w:rFonts w:ascii="Times New Roman" w:hAnsi="Times New Roman" w:cs="Times New Roman"/>
          <w:spacing w:val="50"/>
          <w:w w:val="80"/>
          <w:sz w:val="32"/>
          <w:szCs w:val="32"/>
        </w:rPr>
        <w:t>10</w:t>
      </w:r>
    </w:p>
    <w:p w:rsidR="00815DB6" w:rsidRDefault="00815DB6" w:rsidP="001539DC">
      <w:pPr>
        <w:pStyle w:val="10"/>
        <w:rPr>
          <w:b/>
          <w:i/>
          <w:snapToGrid/>
          <w:sz w:val="24"/>
          <w:szCs w:val="24"/>
        </w:rPr>
      </w:pPr>
    </w:p>
    <w:p w:rsidR="00725005" w:rsidRDefault="00A77314" w:rsidP="007250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7314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</w:t>
      </w:r>
      <w:r w:rsidR="00725005" w:rsidRPr="00725005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Положение </w:t>
      </w:r>
    </w:p>
    <w:p w:rsidR="00725005" w:rsidRDefault="00725005" w:rsidP="007250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005">
        <w:rPr>
          <w:rFonts w:ascii="Times New Roman" w:eastAsia="Times New Roman" w:hAnsi="Times New Roman" w:cs="Times New Roman"/>
          <w:b/>
          <w:sz w:val="24"/>
          <w:szCs w:val="24"/>
        </w:rPr>
        <w:t xml:space="preserve">«О муниципальном земельном </w:t>
      </w:r>
    </w:p>
    <w:p w:rsidR="003F5F7D" w:rsidRDefault="00725005" w:rsidP="007250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005">
        <w:rPr>
          <w:rFonts w:ascii="Times New Roman" w:eastAsia="Times New Roman" w:hAnsi="Times New Roman" w:cs="Times New Roman"/>
          <w:b/>
          <w:sz w:val="24"/>
          <w:szCs w:val="24"/>
        </w:rPr>
        <w:t>контроле в границах Городского округа «</w:t>
      </w:r>
      <w:proofErr w:type="spellStart"/>
      <w:r w:rsidRPr="00725005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72500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A77314" w:rsidRPr="000C1EB5" w:rsidRDefault="00A77314" w:rsidP="00A77314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</w:pPr>
    </w:p>
    <w:p w:rsidR="000C1EB5" w:rsidRPr="000C1EB5" w:rsidRDefault="00C56D86" w:rsidP="000C1E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6D86">
        <w:rPr>
          <w:rFonts w:ascii="Times New Roman" w:eastAsia="Times New Roman" w:hAnsi="Times New Roman" w:cs="Times New Roman"/>
          <w:sz w:val="24"/>
          <w:szCs w:val="24"/>
        </w:rPr>
        <w:t>В соответствии с положениями статьи 72 Земельного кодекса Российской Федерации, Федеральным законом от 06 октября 2003 г. №131-ФЗ «Об общих принципах организации местного самоуправления в Российской Федерации», Федеральным законом от 31 июля 2020 г. №248-ФЗ «О государственном контроле (надзоре) и муниципальном контроле в Российской Федерации», руководствуясь Уставом Городского округа «</w:t>
      </w:r>
      <w:proofErr w:type="spellStart"/>
      <w:r w:rsidRPr="00C56D86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C56D86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C1EB5" w:rsidRPr="000C1EB5">
        <w:rPr>
          <w:rFonts w:ascii="Times New Roman" w:eastAsiaTheme="minorHAnsi" w:hAnsi="Times New Roman" w:cs="Times New Roman"/>
          <w:color w:val="0A0A0A"/>
          <w:sz w:val="24"/>
          <w:szCs w:val="24"/>
          <w:shd w:val="clear" w:color="auto" w:fill="FFFFFF"/>
          <w:lang w:eastAsia="en-US"/>
        </w:rPr>
        <w:t xml:space="preserve">, </w:t>
      </w:r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Окружной Совет депутатов Городского округа «</w:t>
      </w:r>
      <w:proofErr w:type="spellStart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="000C1EB5" w:rsidRPr="000C1EB5">
        <w:rPr>
          <w:rFonts w:ascii="Times New Roman" w:eastAsia="Times New Roman" w:hAnsi="Times New Roman" w:cs="Times New Roman"/>
          <w:sz w:val="24"/>
          <w:szCs w:val="24"/>
        </w:rPr>
        <w:t>»:</w:t>
      </w:r>
    </w:p>
    <w:p w:rsidR="000F40FE" w:rsidRDefault="000F40FE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C6307E" w:rsidRDefault="00C6307E" w:rsidP="001539DC">
      <w:pPr>
        <w:pStyle w:val="10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C56D86" w:rsidRPr="00C6307E" w:rsidRDefault="00C56D86" w:rsidP="001539DC">
      <w:pPr>
        <w:pStyle w:val="10"/>
        <w:jc w:val="center"/>
        <w:rPr>
          <w:b/>
          <w:snapToGrid/>
          <w:sz w:val="24"/>
          <w:szCs w:val="24"/>
        </w:rPr>
      </w:pPr>
    </w:p>
    <w:p w:rsidR="00C56D86" w:rsidRPr="00C56D86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6D86">
        <w:rPr>
          <w:rFonts w:ascii="Times New Roman" w:hAnsi="Times New Roman" w:cs="Times New Roman"/>
          <w:sz w:val="24"/>
          <w:szCs w:val="24"/>
        </w:rPr>
        <w:t>1.</w:t>
      </w:r>
      <w:r w:rsidRPr="00C56D86">
        <w:rPr>
          <w:rFonts w:ascii="Times New Roman" w:hAnsi="Times New Roman" w:cs="Times New Roman"/>
          <w:sz w:val="24"/>
          <w:szCs w:val="24"/>
        </w:rPr>
        <w:tab/>
        <w:t>Утвердить Положение «О муниципальном земельном контроле в границах Городского округа «</w:t>
      </w:r>
      <w:proofErr w:type="spellStart"/>
      <w:r w:rsidRPr="00C56D8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56D86">
        <w:rPr>
          <w:rFonts w:ascii="Times New Roman" w:hAnsi="Times New Roman" w:cs="Times New Roman"/>
          <w:sz w:val="24"/>
          <w:szCs w:val="24"/>
        </w:rPr>
        <w:t>», согласно приложению, к настоящему решению.</w:t>
      </w:r>
    </w:p>
    <w:p w:rsidR="00C56D86" w:rsidRPr="00C56D86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6D86">
        <w:rPr>
          <w:rFonts w:ascii="Times New Roman" w:hAnsi="Times New Roman" w:cs="Times New Roman"/>
          <w:sz w:val="24"/>
          <w:szCs w:val="24"/>
        </w:rPr>
        <w:t>2.</w:t>
      </w:r>
      <w:r w:rsidRPr="00C56D86">
        <w:rPr>
          <w:rFonts w:ascii="Times New Roman" w:hAnsi="Times New Roman" w:cs="Times New Roman"/>
          <w:sz w:val="24"/>
          <w:szCs w:val="24"/>
        </w:rPr>
        <w:tab/>
        <w:t>Признать утратившим силу решение Окружного совета депутатов №25-2 от 30 сентября 2021 г. «Об утверждении «Положения о муниципальном земельном контроле в границах Городского округа «</w:t>
      </w:r>
      <w:proofErr w:type="spellStart"/>
      <w:r w:rsidRPr="00C56D8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56D86">
        <w:rPr>
          <w:rFonts w:ascii="Times New Roman" w:hAnsi="Times New Roman" w:cs="Times New Roman"/>
          <w:sz w:val="24"/>
          <w:szCs w:val="24"/>
        </w:rPr>
        <w:t>».</w:t>
      </w:r>
    </w:p>
    <w:p w:rsidR="00C56D86" w:rsidRPr="00C56D86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6D86">
        <w:rPr>
          <w:rFonts w:ascii="Times New Roman" w:hAnsi="Times New Roman" w:cs="Times New Roman"/>
          <w:sz w:val="24"/>
          <w:szCs w:val="24"/>
        </w:rPr>
        <w:t>3.</w:t>
      </w:r>
      <w:r w:rsidRPr="00C56D86">
        <w:rPr>
          <w:rFonts w:ascii="Times New Roman" w:hAnsi="Times New Roman" w:cs="Times New Roman"/>
          <w:sz w:val="24"/>
          <w:szCs w:val="24"/>
        </w:rPr>
        <w:tab/>
        <w:t>Опубликовать настоящее решение в периодическом печатном издании «</w:t>
      </w:r>
      <w:proofErr w:type="spellStart"/>
      <w:r w:rsidRPr="00C56D86">
        <w:rPr>
          <w:rFonts w:ascii="Times New Roman" w:hAnsi="Times New Roman" w:cs="Times New Roman"/>
          <w:sz w:val="24"/>
          <w:szCs w:val="24"/>
        </w:rPr>
        <w:t>Жатайский</w:t>
      </w:r>
      <w:proofErr w:type="spellEnd"/>
      <w:r w:rsidRPr="00C56D86">
        <w:rPr>
          <w:rFonts w:ascii="Times New Roman" w:hAnsi="Times New Roman" w:cs="Times New Roman"/>
          <w:sz w:val="24"/>
          <w:szCs w:val="24"/>
        </w:rPr>
        <w:t xml:space="preserve"> вестник», разместить на официальном интернет-сайте Городского округа «</w:t>
      </w:r>
      <w:proofErr w:type="spellStart"/>
      <w:r w:rsidRPr="00C56D86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C56D86">
        <w:rPr>
          <w:rFonts w:ascii="Times New Roman" w:hAnsi="Times New Roman" w:cs="Times New Roman"/>
          <w:sz w:val="24"/>
          <w:szCs w:val="24"/>
        </w:rPr>
        <w:t>» - www.jhatay.ru.</w:t>
      </w:r>
    </w:p>
    <w:p w:rsidR="00C56D86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56D86">
        <w:rPr>
          <w:rFonts w:ascii="Times New Roman" w:hAnsi="Times New Roman" w:cs="Times New Roman"/>
          <w:sz w:val="24"/>
          <w:szCs w:val="24"/>
        </w:rPr>
        <w:t>4.</w:t>
      </w:r>
      <w:r w:rsidRPr="00C56D86">
        <w:rPr>
          <w:rFonts w:ascii="Times New Roman" w:hAnsi="Times New Roman" w:cs="Times New Roman"/>
          <w:sz w:val="24"/>
          <w:szCs w:val="24"/>
        </w:rPr>
        <w:tab/>
        <w:t xml:space="preserve"> Настоящее решение вступает в силу со дня его официаль</w:t>
      </w:r>
      <w:r>
        <w:rPr>
          <w:rFonts w:ascii="Times New Roman" w:hAnsi="Times New Roman" w:cs="Times New Roman"/>
          <w:sz w:val="24"/>
          <w:szCs w:val="24"/>
        </w:rPr>
        <w:t>ного опубликования.</w:t>
      </w:r>
    </w:p>
    <w:p w:rsidR="00BB1843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</w:t>
      </w:r>
      <w:r w:rsidRPr="00C56D86">
        <w:rPr>
          <w:rFonts w:ascii="Times New Roman" w:hAnsi="Times New Roman" w:cs="Times New Roman"/>
          <w:sz w:val="24"/>
          <w:szCs w:val="24"/>
        </w:rPr>
        <w:t>Контроль над исполнением настоящего решения возложить на постоянную комиссию по ЖКХ, энергетике, архитектуре, землепользованию, строительству, промышленности, транспорту и связи (Белобородов С.М.).</w:t>
      </w:r>
    </w:p>
    <w:p w:rsidR="00C56D86" w:rsidRDefault="00C56D86" w:rsidP="00C56D8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56D86" w:rsidRDefault="00A77314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56D86" w:rsidRDefault="00C56D86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                                    </w:t>
      </w:r>
      <w:r w:rsidR="00A77314">
        <w:rPr>
          <w:rFonts w:ascii="Times New Roman" w:hAnsi="Times New Roman" w:cs="Times New Roman"/>
          <w:sz w:val="24"/>
          <w:szCs w:val="24"/>
        </w:rPr>
        <w:t xml:space="preserve">        </w:t>
      </w:r>
      <w:r w:rsidRPr="00BB1843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A773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BB18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B1843">
        <w:rPr>
          <w:rFonts w:ascii="Times New Roman" w:hAnsi="Times New Roman" w:cs="Times New Roman"/>
          <w:sz w:val="24"/>
          <w:szCs w:val="24"/>
        </w:rPr>
        <w:t>»</w:t>
      </w: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B1843" w:rsidRPr="00BB1843" w:rsidRDefault="00BB1843" w:rsidP="00BB184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1843">
        <w:rPr>
          <w:rFonts w:ascii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843EDF" w:rsidRDefault="00843EDF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56D86" w:rsidRDefault="00C56D86" w:rsidP="00BB1843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B43186" w:rsidRDefault="00B431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lastRenderedPageBreak/>
        <w:t>Приложение №1</w:t>
      </w: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к решению Окружного Совета ГО «</w:t>
      </w:r>
      <w:proofErr w:type="spellStart"/>
      <w:r w:rsidRPr="0071055B">
        <w:rPr>
          <w:rFonts w:ascii="Times New Roman" w:hAnsi="Times New Roman" w:cs="Times New Roman"/>
        </w:rPr>
        <w:t>Жатай</w:t>
      </w:r>
      <w:proofErr w:type="spellEnd"/>
      <w:r w:rsidRPr="0071055B">
        <w:rPr>
          <w:rFonts w:ascii="Times New Roman" w:hAnsi="Times New Roman" w:cs="Times New Roman"/>
        </w:rPr>
        <w:t>»</w:t>
      </w:r>
    </w:p>
    <w:p w:rsidR="00C56D86" w:rsidRPr="0071055B" w:rsidRDefault="00C56D86" w:rsidP="0071055B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 xml:space="preserve">№ </w:t>
      </w:r>
      <w:r w:rsidR="0071055B">
        <w:rPr>
          <w:rFonts w:ascii="Times New Roman" w:hAnsi="Times New Roman" w:cs="Times New Roman"/>
        </w:rPr>
        <w:t>21-10</w:t>
      </w:r>
      <w:r w:rsidRPr="0071055B">
        <w:rPr>
          <w:rFonts w:ascii="Times New Roman" w:hAnsi="Times New Roman" w:cs="Times New Roman"/>
        </w:rPr>
        <w:t xml:space="preserve"> от «_</w:t>
      </w:r>
      <w:r w:rsidR="0071055B">
        <w:rPr>
          <w:rFonts w:ascii="Times New Roman" w:hAnsi="Times New Roman" w:cs="Times New Roman"/>
        </w:rPr>
        <w:t>17</w:t>
      </w:r>
      <w:r w:rsidRPr="0071055B">
        <w:rPr>
          <w:rFonts w:ascii="Times New Roman" w:hAnsi="Times New Roman" w:cs="Times New Roman"/>
        </w:rPr>
        <w:t>_» _</w:t>
      </w:r>
      <w:r w:rsidR="00C15A16">
        <w:rPr>
          <w:rFonts w:ascii="Times New Roman" w:hAnsi="Times New Roman" w:cs="Times New Roman"/>
        </w:rPr>
        <w:t>июн</w:t>
      </w:r>
      <w:r w:rsidRPr="0071055B">
        <w:rPr>
          <w:rFonts w:ascii="Times New Roman" w:hAnsi="Times New Roman" w:cs="Times New Roman"/>
        </w:rPr>
        <w:t>__ 2026 г.</w:t>
      </w:r>
    </w:p>
    <w:p w:rsidR="00C56D86" w:rsidRPr="0071055B" w:rsidRDefault="00C56D86" w:rsidP="0071055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71055B">
        <w:rPr>
          <w:rFonts w:ascii="Times New Roman" w:hAnsi="Times New Roman" w:cs="Times New Roman"/>
          <w:b/>
        </w:rPr>
        <w:t xml:space="preserve">ПОЛОЖЕНИЕ </w:t>
      </w:r>
    </w:p>
    <w:p w:rsidR="00C56D86" w:rsidRPr="0071055B" w:rsidRDefault="00C56D86" w:rsidP="0071055B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  <w:b/>
        </w:rPr>
        <w:t>о муниципальном земельном контроле в границах Городского округа «</w:t>
      </w:r>
      <w:proofErr w:type="spellStart"/>
      <w:r w:rsidRPr="0071055B">
        <w:rPr>
          <w:rFonts w:ascii="Times New Roman" w:hAnsi="Times New Roman" w:cs="Times New Roman"/>
          <w:b/>
        </w:rPr>
        <w:t>Жатай</w:t>
      </w:r>
      <w:proofErr w:type="spellEnd"/>
      <w:r w:rsidRPr="0071055B">
        <w:rPr>
          <w:rFonts w:ascii="Times New Roman" w:hAnsi="Times New Roman" w:cs="Times New Roman"/>
          <w:b/>
        </w:rPr>
        <w:t>»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sz w:val="22"/>
          <w:szCs w:val="22"/>
        </w:rPr>
      </w:pPr>
    </w:p>
    <w:p w:rsidR="00C56D86" w:rsidRPr="0071055B" w:rsidRDefault="00C56D86" w:rsidP="0071055B">
      <w:pPr>
        <w:pStyle w:val="1"/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ОБЩИЕ ПОЛОЖЕНИЯ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Настоящее Положение разработано в соответствии с Земельным кодексом Российской Федерации (далее – ЗК РФ), Федеральным законом от 06 октября 2003 г. №131-ФЗ «Об общих принципах организации местного самоуправления в Российской Федерации», Федеральным законом от 31 июля 2020 г. №248-ФЗ «О государственном контроле (надзоре) и муниципальном контроле в Российской Федерации» (далее – Федеральный закон №248-ФЗ), иными нормативными правовыми актами Российской Федерации и устанавливает порядок организации и осуществления муниципального земельного контроля в границах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(далее – муниципальный контроль).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Муниципальный контроль осуществляется в соответствии с пунктом 1 статьи 72 ЗК РФ.</w:t>
      </w:r>
    </w:p>
    <w:p w:rsidR="00C56D86" w:rsidRPr="0071055B" w:rsidRDefault="00C56D86" w:rsidP="0071055B">
      <w:pPr>
        <w:pStyle w:val="2"/>
        <w:rPr>
          <w:rStyle w:val="a6"/>
          <w:b w:val="0"/>
          <w:bCs w:val="0"/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Предметом муниципального контроля</w:t>
      </w:r>
      <w:r w:rsidRPr="0071055B">
        <w:rPr>
          <w:color w:val="auto"/>
          <w:sz w:val="22"/>
          <w:szCs w:val="22"/>
        </w:rPr>
        <w:t> является соблюдение юридическими лицами, индивидуальными предпринимателями, гражданами (далее – контролируемые лица) обязательных требований к использованию и охране земель в отношении объектов земельных отношений, за нарушение которых законодательством предусмотрена административная ответственность (далее – обязательные требования) (пункт 2 статьи 72 ЗК РФ).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Объектами муниципального контроля</w:t>
      </w:r>
      <w:r w:rsidRPr="0071055B">
        <w:rPr>
          <w:color w:val="auto"/>
          <w:sz w:val="22"/>
          <w:szCs w:val="22"/>
        </w:rPr>
        <w:t> (далее – объект контроля) являются земли, земельные участки и их части независимо от прав на них, расположенные в границах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», за исключением земельных участков, муниципальный земельный контроль в отношении которых осуществляется иными муниципальными образованиями в случаях, установленных федеральным законом.</w:t>
      </w:r>
    </w:p>
    <w:p w:rsidR="00C56D86" w:rsidRPr="0071055B" w:rsidRDefault="00C56D86" w:rsidP="0071055B">
      <w:pPr>
        <w:pStyle w:val="2"/>
        <w:rPr>
          <w:rStyle w:val="a6"/>
          <w:b w:val="0"/>
          <w:bCs w:val="0"/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Муниципальный контроль осуществляется на основе принципов, установленных главой 2 Федерального закона №248-ФЗ, в том числе законности, презумпции добросовестности контролируемых лиц, риск-ориентированного подхода, открытости и гласности.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Уполномоченным органом</w:t>
      </w:r>
      <w:r w:rsidRPr="0071055B">
        <w:rPr>
          <w:color w:val="auto"/>
          <w:sz w:val="22"/>
          <w:szCs w:val="22"/>
        </w:rPr>
        <w:t>, осуществляющим муниципальный земельный контроль в границах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является Окружная Администрация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в лице отдела имущественных и земельных отношений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(далее - Контрольный орган).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Организацию деятельности Контрольного органа осуществляет его руководитель, назначаемый и освобождаемый от должности в установленном порядке.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Должностные лица Контрольного органа, уполномоченные на осуществление муниципального контроля (далее – должностные лица), их права и обязанности определяются в соответствии со статьей 29 Федерального закона №248-ФЗ. Перечень должностных лиц утверждается правовым актом Контрольного органа.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Учет объектов контроля, сведений о категориях риска, контрольных и профилактических мероприятиях, их результатах осуществляется Контрольным органом с использованием государственной информационной системы «Единый реестр контрольных (надзорных) мероприятий» (ЕРКНМ) в порядке, установленном Федеральным законом №248-ФЗ и нормативными правовыми актами Правительства Российской Федерации.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Информирование контролируемых лиц о решениях и действиях Контрольного органа осуществляется путем размещения соответствующей информации в ЕРКНМ, на официальном сайте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в информационно-телекоммуникационной сети «Интернет» (далее – официальный сайт), а также посредством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УПРАВЛЕНИЕ РИСКАМИ ПРИЧИНЕНИЯ ВРЕДА (УЩЕРБА) ОХРАНЯЕМЫМ ЗАКОНОМ ЦЕННОСТЯМ. КАТЕГОРИИ РИСКА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Муниципальный контроль осуществляется на основе риск-ориентированного подхода, при котором выбор форм профилактических и контрольных мероприятий, их содержание, интенсивность и периодичность определяются отнесением объекта контроля к определенной категории риска причинения вреда (ущерба) охраняемым законом ценностям (далее – категория риска).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lastRenderedPageBreak/>
        <w:t>Контрольный орган относит объекты контроля к одной из следующих категорий риска:</w:t>
      </w:r>
    </w:p>
    <w:p w:rsidR="00C56D86" w:rsidRPr="0071055B" w:rsidRDefault="00C56D86" w:rsidP="0071055B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средний риск;</w:t>
      </w:r>
    </w:p>
    <w:p w:rsidR="00C56D86" w:rsidRPr="0071055B" w:rsidRDefault="00C56D86" w:rsidP="0071055B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умеренный риск;</w:t>
      </w:r>
    </w:p>
    <w:p w:rsidR="00C56D86" w:rsidRPr="0071055B" w:rsidRDefault="00C56D86" w:rsidP="0071055B">
      <w:pPr>
        <w:pStyle w:val="ds-markdown-paragraph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низкий риск.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Критерии отнесения объектов контроля к категориям риска утверждаются приложением 1 к настоящему Положению. Критерии разработаны с учетом потенциальной тяжести возможных негативных последствий нарушения обязательных требований.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Отнесение объекта контроля к категории риска осуществляется Контрольным органом в соответствии с частями 3, 5 статьи 24 Федерального закона №248-ФЗ на основе сопоставления его характеристик с утвержденными критериями. Оценка может проводиться, в том числе с использованием информации, полученной в рамках межведомственного информационного взаимодействия. Объект контроля считается отнесенным к одной из категорий риска после внесения сведений в единый реестр видов контроля.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Контролируемое лицо вправе подать в Контрольный орган заявление об изменении категории риска объекта контроля в соответствии с частью 6 статьи 24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Индикатором риска нарушения обязательных требований является соответствие или отклонение параметров объекта контроля от установленных критериев, которые сами по себе не являются нарушениями, но с высокой степенью вероятности свидетельствуют о наличии таких нарушений или риске причинения вреда. Перечень проверяемых индикаторов риска утверждается приложением 2 к настоящему Положению.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случае если объект контроля не отнесен к определенной категории риска, он считается отнесенным к категории низкого риска (часть 4 статьи 24 Федерального закона №248-ФЗ).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Контрольный орган в течение пяти рабочих дней со дня поступления достоверных сведений, свидетельствующих об изменении характеристик объекта контроля и его соответствии критериям иной категории риска, принимает решение об изменении категории риска объекта контроля (часть 5 статьи 24 Федерального закона №248-ФЗ).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Контрольный орган ведет перечни земельных участков, отнесенных к категориям риска, которые содержат следующую информацию:</w:t>
      </w:r>
    </w:p>
    <w:p w:rsidR="00C56D86" w:rsidRPr="0071055B" w:rsidRDefault="00C56D86" w:rsidP="0071055B">
      <w:pPr>
        <w:pStyle w:val="3"/>
        <w:numPr>
          <w:ilvl w:val="0"/>
          <w:numId w:val="14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кадастровый номер или при его отсутствии – адрес местоположения земельного участка;</w:t>
      </w:r>
    </w:p>
    <w:p w:rsidR="00C56D86" w:rsidRPr="0071055B" w:rsidRDefault="00C56D86" w:rsidP="0071055B">
      <w:pPr>
        <w:pStyle w:val="3"/>
        <w:numPr>
          <w:ilvl w:val="0"/>
          <w:numId w:val="14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категория риска;</w:t>
      </w:r>
    </w:p>
    <w:p w:rsidR="00C56D86" w:rsidRPr="0071055B" w:rsidRDefault="00C56D86" w:rsidP="0071055B">
      <w:pPr>
        <w:pStyle w:val="3"/>
        <w:numPr>
          <w:ilvl w:val="0"/>
          <w:numId w:val="14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реквизиты решения об отнесении к категории риска.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Указанные перечни размещаются на официальном сайте.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ПРОФИЛАКТИЧЕСКИЕ МЕРОПРИЯТИЯ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целях предупреждения нарушений обязательных требований Контрольный орган проводит профилактические мероприятия, указанные в части 1 статьи 45 Федерального закона №248-ФЗ, в том числе: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информирование;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объявление предостережения о недопустимости нарушения обязательных требований (далее — предостережение);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консультирование;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профилактический визит (в том числе обязательный профилактический визит).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Информирование осуществляется посредством размещения на официальном сайте, в средствах массовой информации, а также через личные кабинеты контролируемых лиц в государственных информационных системах (при их наличии) следующей информации: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об обязательных требованиях;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о правах и обязанностях контролируемых лиц;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о порядке осуществления муниципального контроля;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иных сведений, предусмотренных частью 3 статьи 46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Предостережение объявляется контролируемому лицу в соответствии со статьей 49 Федерального закона №248-ФЗ. Контролируемое лицо вправе после получения предостережения подать в Контрольный орган возражение в порядке, установленном федеральным законом о виде контроля.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Консультирование контролируемых лиц и их представителей,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услуг, осуществляется по вопросам, связанным с соблюдением обязательных требований, организацией и осуществлением муниципального контроля, в порядке, установленном статьей 50 Федерального закона №248-ФЗ. Консультирование может осуществляться в устной (по телефону, на личном приеме) или письменной форме. Информация, полученная в ходе консультирования, не может использоваться как основание для проведения контрольного мероприятия.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lastRenderedPageBreak/>
        <w:t>Профилактический визит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Профилактический визит проводится в целях предупреждения нарушений обязательных требований путем информирования контролируемого лица об обязательных требованиях, их соответствии критериям риска, рекомендуемых способах снижения категории риска, а также ознакомления с объектом контроля, сбора сведений для отнесения объектов контроля к категориям риска и оценки уровня соблюдения обязательных требований.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Профилактический визит проводится в форме профилактической беседы инспектора с контролируемым лицом по месту осуществления деятельности либо с использованием видео-конференц-связи использования мобильного приложения «Инспектор» в соответствии со статьей 50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Обязательный профилактический визит</w:t>
      </w:r>
    </w:p>
    <w:p w:rsidR="00C56D86" w:rsidRPr="0071055B" w:rsidRDefault="00C56D86" w:rsidP="0071055B">
      <w:pPr>
        <w:pStyle w:val="6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Обязательный профилактический визит проводится в отношении объектов контроля, отнесенных к категориям высокого, среднего и умеренного риска, с периодичностью, установленной законодательством Российской Федерации, с учетом категории риска объекта контроля.</w:t>
      </w:r>
    </w:p>
    <w:p w:rsidR="00C56D86" w:rsidRPr="0071055B" w:rsidRDefault="00C56D86" w:rsidP="0071055B">
      <w:pPr>
        <w:pStyle w:val="6"/>
        <w:rPr>
          <w:sz w:val="22"/>
          <w:szCs w:val="22"/>
        </w:rPr>
      </w:pPr>
      <w:r w:rsidRPr="0071055B">
        <w:rPr>
          <w:sz w:val="22"/>
          <w:szCs w:val="22"/>
        </w:rPr>
        <w:t>Периодичность проведения обязательных профилактических визитов в отношении объектов контроля составляет:</w:t>
      </w:r>
    </w:p>
    <w:p w:rsidR="00C56D86" w:rsidRPr="0071055B" w:rsidRDefault="00C56D86" w:rsidP="0071055B">
      <w:pPr>
        <w:pStyle w:val="3"/>
        <w:numPr>
          <w:ilvl w:val="0"/>
          <w:numId w:val="16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не менее одного, но не более двух плановых контрольных (надзорных) мероприятий в год - для объектов контроля, отнесенных к категории чрезвычайно высокого риска;</w:t>
      </w:r>
    </w:p>
    <w:p w:rsidR="00C56D86" w:rsidRPr="0071055B" w:rsidRDefault="00C56D86" w:rsidP="0071055B">
      <w:pPr>
        <w:pStyle w:val="3"/>
        <w:numPr>
          <w:ilvl w:val="0"/>
          <w:numId w:val="16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одно плановое контрольное (надзорное) мероприятие в два года либо один обязательный профилактический визит в год - для объектов контроля, отнесенных к категории высокого риска;</w:t>
      </w:r>
    </w:p>
    <w:p w:rsidR="00C56D86" w:rsidRPr="0071055B" w:rsidRDefault="00C56D86" w:rsidP="0071055B">
      <w:pPr>
        <w:pStyle w:val="3"/>
        <w:numPr>
          <w:ilvl w:val="0"/>
          <w:numId w:val="16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периодичность проведения обязательных профилактических визитов, в том числе по отдельным видам контроля, определяется Правительством Российской Федерации - для объектов контроля, отнесенных к категории значительного, среднего или умеренного риска.</w:t>
      </w:r>
    </w:p>
    <w:p w:rsidR="00C56D86" w:rsidRPr="0071055B" w:rsidRDefault="00C56D86" w:rsidP="0071055B">
      <w:pPr>
        <w:pStyle w:val="6"/>
        <w:jc w:val="both"/>
        <w:rPr>
          <w:sz w:val="22"/>
          <w:szCs w:val="22"/>
        </w:rPr>
      </w:pPr>
      <w:r w:rsidRPr="0071055B">
        <w:rPr>
          <w:sz w:val="22"/>
          <w:szCs w:val="22"/>
        </w:rPr>
        <w:t xml:space="preserve">Контрольный (надзорный) орган вправе провести вместо планового контрольного (надзорного) мероприятия, указанного в </w:t>
      </w:r>
      <w:proofErr w:type="gramStart"/>
      <w:r w:rsidRPr="0071055B">
        <w:rPr>
          <w:sz w:val="22"/>
          <w:szCs w:val="22"/>
        </w:rPr>
        <w:t>подпункте</w:t>
      </w:r>
      <w:proofErr w:type="gramEnd"/>
      <w:r w:rsidRPr="0071055B">
        <w:rPr>
          <w:sz w:val="22"/>
          <w:szCs w:val="22"/>
        </w:rPr>
        <w:t xml:space="preserve"> а пункта 3.5.4.2 настоящего положения, обязательный профилактический визит в случаях, установленных положением о виде контроля, притом обязательный профилактический визит может быть проведен не более одного раза в год.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Периодичность проведения обязательных профилактических визитов исчисляется с момента принятия Контрольным органом решения об отнесении объекта контроля к соответствующей категории риска.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3.5.4.4. При определении периодичности проведения обязательных профилактических визитов не учитываются обязательные профилактические визиты, проведенные по основанию, предусмотренному пунктом 2 части 1 статьи 52.1 Федерального закона №248-ФЗ (по уведомлению о начале предпринимательской деятельности), а также по иным основаниям, если это предусмотрено федеральным законом.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3.5.4.5. В рамках обязательного профилактического визита инспектор вправе проводить осмотр, истребование необходимых документов, отбор проб (образцов), инструментальное обследование, испытание, экспертизу в соответствии с частью 4 статьи 52.1 Федерального закона №248-ФЗ.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3.5.5. Срок проведения профилактического визита не может превышать десять рабочих дней и может быть продлен на срок, необходимый для проведения экспертизы, испытаний.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3.5.6. По итогам проведения обязательного профилактического визита составляется акт о проведении обязательного профилактического визита (далее также — акт обязательного профилактического визита) в порядке, предусмотренном статьей 90 Федерального закона №248-ФЗ для контрольных (надзорных) мероприятий. Контролируемое лицо или его представитель знакомится с содержанием акта обязательного профилактического визита в порядке, предусмотренном статьей 88 Федерального закона №248-ФЗ для контрольных (надзорных) мероприятий.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3.5.7. В случае выявления в ходе обязательного профилактического визита нарушений обязательных требований, которые не были устранены до окончания его проведения, Контрольный орган выдает контролируемому лицу предписание об устранении выявленных нарушений в порядке, предусмотренном статьей 90.1 Федерального закона №248-ФЗ.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3.5.8. В случае невозможности проведения обязательного профилактического визита и (или)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порядке, предусмотренном частью 10 статьи 65 Федерального закона №248-ФЗ для контрольных (надзорных) мероприятий. Уклонение контролируемого лица от проведения обязательного профилактического визита является самостоятельным основанием для организации внепланового контрольного (надзорного) мероприятия в соответствии с подпунктом 9 части 1 статьи 57 Федерального закона №248-ФЗ.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lastRenderedPageBreak/>
        <w:t>3.5.9. Обязательный профилактический визит не подлежит согласованию с органами прокуратуры и включается в ежегодный план проведения профилактических мероприятий Контрольного органа.</w:t>
      </w:r>
    </w:p>
    <w:p w:rsidR="00C56D86" w:rsidRPr="0071055B" w:rsidRDefault="00C56D86" w:rsidP="0071055B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055B">
        <w:rPr>
          <w:rFonts w:ascii="Times New Roman" w:hAnsi="Times New Roman" w:cs="Times New Roman"/>
        </w:rPr>
        <w:t>3.6. Учет проведенных профилактических мероприятий, включая обязательные профилактические визиты, осуществляется Контрольным органом с использованием государственной информационной системы «Единый реестр контрольных (надзорных) мероприятий» (ЕРКНМ).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КОНТРОЛЬНЫЕ МЕРОПРИЯТИЯ (ВИДЫ КОНТРОЛЬНО-НАДЗОРНЫХ МЕРОПРИЯТИЙ)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Общие положения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Контрольные (надзорные) мероприятия (далее – КНМ) подразделяются на плановые и внеплановые, а также на проводимые во взаимодействии с контролируемым лицом и без такого взаимодействия.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 КНМ, проводимым во взаимодействии с контролируемым лицом, относятся: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инспекционный визит (статья 70 Федерального закона №248-ФЗ);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рейдовый осмотр (статья 71 Федерального закона №248-ФЗ);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документарная проверка (статья 72 Федерального закона №248-ФЗ);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выездная проверка (статья 73 Федерального закона №248-ФЗ).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 КНМ, проводимым без взаимодействия с контролируемым лицом, относятся: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наблюдение за соблюдением обязательных требований (мониторинг безопасности) (статья 74 Федерального закона №248-ФЗ);</w:t>
      </w:r>
    </w:p>
    <w:p w:rsidR="00C56D86" w:rsidRPr="0071055B" w:rsidRDefault="00C56D86" w:rsidP="0071055B">
      <w:pPr>
        <w:pStyle w:val="4"/>
        <w:rPr>
          <w:sz w:val="22"/>
          <w:szCs w:val="22"/>
        </w:rPr>
      </w:pPr>
      <w:r w:rsidRPr="0071055B">
        <w:rPr>
          <w:sz w:val="22"/>
          <w:szCs w:val="22"/>
        </w:rPr>
        <w:t>выездное обследование (статья 75 Федерального закона №248-ФЗ).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Решение о проведении КНМ, предусматривающего взаимодействие с контролируемым лицом (за исключением случаев, установленных частью 12 статьи 66 Федерального закона №248-ФЗ), принимается руководителем Контрольного органа или его заместителем. Форма и содержание решения определяются в соответствии со статьей 64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План проведения плановых КНМ на очередной календарный год (далее – План) формируется Контрольным органом с учетом категорий риска объектов контроля и подлежит согласованию с органами прокуратуры в установленном порядке.</w:t>
      </w:r>
    </w:p>
    <w:p w:rsidR="00C56D86" w:rsidRPr="0071055B" w:rsidRDefault="00C56D86" w:rsidP="0071055B">
      <w:pPr>
        <w:pStyle w:val="2"/>
        <w:rPr>
          <w:rStyle w:val="a6"/>
          <w:b w:val="0"/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Плановые контрольные (надзорные) мероприятия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Плановые КНМ проводятся исключительно на основании Плана.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Периодичность проведения плановых КНМ в отношении объектов контроля, отнесенных к категории </w:t>
      </w:r>
      <w:r w:rsidRPr="0071055B">
        <w:rPr>
          <w:rStyle w:val="a6"/>
          <w:color w:val="auto"/>
          <w:sz w:val="22"/>
          <w:szCs w:val="22"/>
        </w:rPr>
        <w:t>высокого риска</w:t>
      </w:r>
      <w:r w:rsidRPr="0071055B">
        <w:rPr>
          <w:color w:val="auto"/>
          <w:sz w:val="22"/>
          <w:szCs w:val="22"/>
        </w:rPr>
        <w:t>, составляет </w:t>
      </w:r>
      <w:r w:rsidRPr="0071055B">
        <w:rPr>
          <w:rStyle w:val="a6"/>
          <w:color w:val="auto"/>
          <w:sz w:val="22"/>
          <w:szCs w:val="22"/>
        </w:rPr>
        <w:t>один раз в 2 года</w:t>
      </w:r>
      <w:r w:rsidRPr="0071055B">
        <w:rPr>
          <w:color w:val="auto"/>
          <w:sz w:val="22"/>
          <w:szCs w:val="22"/>
        </w:rPr>
        <w:t>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Периодичность проведения плановых КНМ в отношении объектов контроля, отнесенных к категории </w:t>
      </w:r>
      <w:r w:rsidRPr="0071055B">
        <w:rPr>
          <w:rStyle w:val="a6"/>
          <w:color w:val="auto"/>
          <w:sz w:val="22"/>
          <w:szCs w:val="22"/>
        </w:rPr>
        <w:t>среднего риска</w:t>
      </w:r>
      <w:r w:rsidRPr="0071055B">
        <w:rPr>
          <w:color w:val="auto"/>
          <w:sz w:val="22"/>
          <w:szCs w:val="22"/>
        </w:rPr>
        <w:t>, составляет </w:t>
      </w:r>
      <w:r w:rsidRPr="0071055B">
        <w:rPr>
          <w:rStyle w:val="a6"/>
          <w:color w:val="auto"/>
          <w:sz w:val="22"/>
          <w:szCs w:val="22"/>
        </w:rPr>
        <w:t>один раз в 3 года</w:t>
      </w:r>
      <w:r w:rsidRPr="0071055B">
        <w:rPr>
          <w:color w:val="auto"/>
          <w:sz w:val="22"/>
          <w:szCs w:val="22"/>
        </w:rPr>
        <w:t>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Периодичность проведения плановых КНМ в отношении объектов контроля, отнесенных к категории </w:t>
      </w:r>
      <w:r w:rsidRPr="0071055B">
        <w:rPr>
          <w:rStyle w:val="a6"/>
          <w:color w:val="auto"/>
          <w:sz w:val="22"/>
          <w:szCs w:val="22"/>
        </w:rPr>
        <w:t>умеренного риска</w:t>
      </w:r>
      <w:r w:rsidRPr="0071055B">
        <w:rPr>
          <w:color w:val="auto"/>
          <w:sz w:val="22"/>
          <w:szCs w:val="22"/>
        </w:rPr>
        <w:t>, составляет </w:t>
      </w:r>
      <w:r w:rsidRPr="0071055B">
        <w:rPr>
          <w:rStyle w:val="a6"/>
          <w:color w:val="auto"/>
          <w:sz w:val="22"/>
          <w:szCs w:val="22"/>
        </w:rPr>
        <w:t>один раз в 6 лет</w:t>
      </w:r>
      <w:r w:rsidRPr="0071055B">
        <w:rPr>
          <w:color w:val="auto"/>
          <w:sz w:val="22"/>
          <w:szCs w:val="22"/>
        </w:rPr>
        <w:t>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отношении объектов контроля, отнесенных к категории </w:t>
      </w:r>
      <w:r w:rsidRPr="0071055B">
        <w:rPr>
          <w:rStyle w:val="a6"/>
          <w:color w:val="auto"/>
          <w:sz w:val="22"/>
          <w:szCs w:val="22"/>
        </w:rPr>
        <w:t>низкого риска</w:t>
      </w:r>
      <w:r w:rsidRPr="0071055B">
        <w:rPr>
          <w:color w:val="auto"/>
          <w:sz w:val="22"/>
          <w:szCs w:val="22"/>
        </w:rPr>
        <w:t>, плановые КНМ </w:t>
      </w:r>
      <w:r w:rsidRPr="0071055B">
        <w:rPr>
          <w:rStyle w:val="a6"/>
          <w:color w:val="auto"/>
          <w:sz w:val="22"/>
          <w:szCs w:val="22"/>
        </w:rPr>
        <w:t>не проводятся</w:t>
      </w:r>
      <w:r w:rsidRPr="0071055B">
        <w:rPr>
          <w:color w:val="auto"/>
          <w:sz w:val="22"/>
          <w:szCs w:val="22"/>
        </w:rPr>
        <w:t>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Внеплановые контрольные (надзорные) мероприятия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Основаниями для проведения внепланового КНМ, предусматривающего взаимодействие с контролируемым лицом, являются основания, предусмотренные частью 1 статьи 57 Федерального закона №248-ФЗ, в том числе: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наличие сведений о причинении вреда (ущерба) или об угрозе причинения вреда (ущерба) охраняемым законом ценностям в соответствии со статьей 60 Федерального закона №248-ФЗ;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истечение срока исполнения ранее выданного предписания (подпункт 5 части 1 статьи 57 Федерального закона №248-ФЗ);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наличие поручения (требования) Президента Российской Федерации, Правительства Российской Федерации, прокурора о проведении КНМ (подпункты 3, 4 части 1 статьи 57 Федерального закона №248-ФЗ);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истечение срока исполнения решения контрольного (надзорного) органа об устранении выявленного нарушения обязательных требований (часть 1-1.1 статьи 95 Федерального закона №248-ФЗ);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наступление события, указанного в программе проверок, если федеральным законом о виде контроля установлено, что контрольные (надзорные) мероприятия проводятся на основании программы проверок;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выявление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 (подпункт 7 части 1 статьи 57 Федерального закона №248-ФЗ);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наличие у контрольного (надзорного) органа сведений об осуществлении деятельности без уведомления о начале осуществления предпринимательской деятельности (подпункт 8 части 1 статьи Федерального закона №248-ФЗ);</w:t>
      </w:r>
    </w:p>
    <w:p w:rsidR="00C56D86" w:rsidRPr="0071055B" w:rsidRDefault="00C56D86" w:rsidP="0071055B">
      <w:pPr>
        <w:pStyle w:val="3"/>
        <w:numPr>
          <w:ilvl w:val="0"/>
          <w:numId w:val="17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lastRenderedPageBreak/>
        <w:t>уклонение контролируемого лица от проведения обязательного профилактического визита (подпункт 9 части 1 статьи 57 Федерального закона №248-ФЗ).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Внеплановые КНМ, проводимые без взаимодействия с контролируемым лицом (наблюдение, выездное обследование), осуществляются на основании заданий, утверждаемых руководителем Контрольного органа (часть 2 статьи 57 Федерального закона №248-ФЗ).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Внеплановая выездная проверка и внеплановый инспекционный визит</w:t>
      </w:r>
      <w:r w:rsidRPr="0071055B">
        <w:rPr>
          <w:color w:val="auto"/>
          <w:sz w:val="22"/>
          <w:szCs w:val="22"/>
        </w:rPr>
        <w:t xml:space="preserve"> по основаниям, указанным в подпунктах </w:t>
      </w:r>
      <w:proofErr w:type="gramStart"/>
      <w:r w:rsidRPr="0071055B">
        <w:rPr>
          <w:color w:val="auto"/>
          <w:sz w:val="22"/>
          <w:szCs w:val="22"/>
        </w:rPr>
        <w:t>а-д</w:t>
      </w:r>
      <w:proofErr w:type="gramEnd"/>
      <w:r w:rsidRPr="0071055B">
        <w:rPr>
          <w:color w:val="auto"/>
          <w:sz w:val="22"/>
          <w:szCs w:val="22"/>
        </w:rPr>
        <w:t xml:space="preserve"> пункта 4.3.1 настоящего Положения, проводятся с предварительным согласованием с органами прокуратуры, за исключением случаев, прямо предусмотренных частями 12 статьи 66 и 7 статьи 70 Федерального закона №248-ФЗ. Порядок согласования определен статьей 66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Виды и порядок проведения контрольных (надзорных) мероприятий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Инспекционный визит</w:t>
      </w:r>
      <w:r w:rsidRPr="0071055B">
        <w:rPr>
          <w:color w:val="auto"/>
          <w:sz w:val="22"/>
          <w:szCs w:val="22"/>
        </w:rPr>
        <w:t> проводится в порядке, установленном статьей 70 Федерального закона №248-ФЗ, по месту нахождения (осуществления деятельности) контролируемого лица либо объекта контроля без предварительного уведомления контролируемого лица. В ходе инспекционного визита могут совершаться следующие контрольные (надзорные) действия: осмотр, опрос, получение письменных объяснений, инструментальное обследование, истребование документов, которые должны находиться в месте осуществления деятельности. Срок проведения инспекционного визита в одном месте осуществления деятельности либо на одном производственном объекте не может превышать один рабочий день. Внеплановый инспекционный визит проводится по согласованию с органами прокуратуры, за исключением случаев, установленных частью 7 статьи 70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Рейдовый осмотр</w:t>
      </w:r>
      <w:r w:rsidRPr="0071055B">
        <w:rPr>
          <w:color w:val="auto"/>
          <w:sz w:val="22"/>
          <w:szCs w:val="22"/>
        </w:rPr>
        <w:t> проводится в порядке, установленном статьей 71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Документарная проверка</w:t>
      </w:r>
      <w:r w:rsidRPr="0071055B">
        <w:rPr>
          <w:color w:val="auto"/>
          <w:sz w:val="22"/>
          <w:szCs w:val="22"/>
        </w:rPr>
        <w:t> проводится по месту нахождения Контрольного органа путем изучения документов контролируемого лица. Документы могут представляться контролируемыми лицами с использованием единого портала государственных и муниципальных услуг, регионального портала государственных и муниципальных услуг или мобильного приложения "Инспектор". Срок проведения – не более 10 рабочих дней. Проводится в порядке, установленном статьей 72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Выездная проверка</w:t>
      </w:r>
      <w:r w:rsidRPr="0071055B">
        <w:rPr>
          <w:color w:val="auto"/>
          <w:sz w:val="22"/>
          <w:szCs w:val="22"/>
        </w:rPr>
        <w:t> проводится в порядке, установленном статьей 73 Федерального закона №248-ФЗ, по месту нахождения контролируемого лица или объекта контроля. Срок проведения – не более 10 рабочих дней (для субъектов МСП устанавливаются сокращенные сроки взаимодействия). О проведении проверки контролируемое лицо уведомляется не менее чем за 24 часа, если иное не предусмотрено федеральным законом о виде контроля (часть 6 статьи 73 Федерального закона №248-ФЗ). В ходе проверки могут проводиться осмотр, истребование документов, получение объяснений, инструментальное обследование.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Наблюдение за соблюдением обязательных требований (мониторинг безопасности)</w:t>
      </w:r>
      <w:r w:rsidRPr="0071055B">
        <w:rPr>
          <w:color w:val="auto"/>
          <w:sz w:val="22"/>
          <w:szCs w:val="22"/>
        </w:rPr>
        <w:t> представляет собой сбор и анализ информации об объектах контроля в соответствии со статьей 74 Федерального закона №248-ФЗ. </w:t>
      </w:r>
      <w:r w:rsidRPr="0071055B">
        <w:rPr>
          <w:rStyle w:val="a6"/>
          <w:color w:val="auto"/>
          <w:sz w:val="22"/>
          <w:szCs w:val="22"/>
        </w:rPr>
        <w:t>В случае выявления в ходе наблюдения нарушений обязательных требований Контрольный орган вправе выдать предписание об устранении выявленных нарушений</w:t>
      </w:r>
      <w:r w:rsidRPr="0071055B">
        <w:rPr>
          <w:color w:val="auto"/>
          <w:sz w:val="22"/>
          <w:szCs w:val="22"/>
        </w:rPr>
        <w:t> в соответствии с пунктом 4 статьи 72 ЗК РФ и частью 3 статьи 74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Выездное обследование</w:t>
      </w:r>
      <w:r w:rsidRPr="0071055B">
        <w:rPr>
          <w:color w:val="auto"/>
          <w:sz w:val="22"/>
          <w:szCs w:val="22"/>
        </w:rPr>
        <w:t xml:space="preserve"> проводится в порядке, установленном статьей 75 Федерального закона №248-ФЗ, без взаимодействия с контролируемым лицом на общедоступных территориях и объектах в целях визуальной оценки соблюдения обязательных требований. </w:t>
      </w:r>
      <w:r w:rsidRPr="0071055B">
        <w:rPr>
          <w:rStyle w:val="a6"/>
          <w:color w:val="auto"/>
          <w:sz w:val="22"/>
          <w:szCs w:val="22"/>
        </w:rPr>
        <w:t>В случае выявления в рамках выездного обследования признаков нарушений обязательных требований Контрольный орган вправе выдать предписание об устранении выявленных нарушений</w:t>
      </w:r>
      <w:r w:rsidRPr="0071055B">
        <w:rPr>
          <w:color w:val="auto"/>
          <w:sz w:val="22"/>
          <w:szCs w:val="22"/>
        </w:rPr>
        <w:t> в соответствии с пунктом 4 статьи 72 ЗК РФ и частью 8 статьи 75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000000"/>
          <w:sz w:val="22"/>
          <w:szCs w:val="22"/>
          <w:shd w:val="clear" w:color="auto" w:fill="FFFFFF"/>
        </w:rPr>
        <w:t>Выездное обследование может быть проведено с использованием беспилотных аппаратов (систем) в случаях, предусмотренных положением о виде контроля.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Оформление результатов контрольного (надзорного) мероприятия.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По результатам КНМ, проводимого во взаимодействии с контролируемым лицом, составляется акт в соответствии со статьей 87 Федерального закона №248-ФЗ по форме, утвержденной уполномоченным федеральным органом исполнительной власти.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Акт подписывается должностными лицами, проводившими мероприятие. Ознакомление контролируемого лица с актом осуществляется в порядке, установленном статьей 88 Федерального закона №248-ФЗ.</w:t>
      </w:r>
    </w:p>
    <w:p w:rsidR="00C56D86" w:rsidRPr="0071055B" w:rsidRDefault="00C56D86" w:rsidP="0071055B">
      <w:pPr>
        <w:pStyle w:val="5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случае выявления нарушений обязательных требований к акту приобщаются доказательства таких нарушений. В акте, составленном по результатам КНМ во взаимодействии с контролируемым лицом, указывается информация о выявленном нарушении обязательных требований (пункт 4 статьи 72 ЗК РФ).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rPr>
          <w:rStyle w:val="a6"/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МЕРЫ, ПРИНИМАЕМЫЕ ПО РЕЗУЛЬТАТАМ КОНТРОЛЬНЫХ МЕРОПРИЯТИЙ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Меры, принимаемые по результатам КНМ, применяются в соответствии со статьей 90 Федерального закона №248-ФЗ и пунктами 4, 7 статьи 72 ЗК РФ.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Контрольный орган вправе выдавать предписания об устранении выявленных нарушений обязательных требований к использованию и охране земель</w:t>
      </w:r>
      <w:r w:rsidRPr="0071055B">
        <w:rPr>
          <w:color w:val="auto"/>
          <w:sz w:val="22"/>
          <w:szCs w:val="22"/>
        </w:rPr>
        <w:t> (пункт 4 статьи 72 ЗК РФ), в том числе:</w:t>
      </w:r>
    </w:p>
    <w:p w:rsidR="00C56D86" w:rsidRPr="0071055B" w:rsidRDefault="00C56D86" w:rsidP="0071055B">
      <w:pPr>
        <w:pStyle w:val="3"/>
        <w:numPr>
          <w:ilvl w:val="0"/>
          <w:numId w:val="18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по результатам КНМ, проведенных во взаимодействии с контролируемым лицом (выездная и документарная проверки, инспекционный визит);</w:t>
      </w:r>
    </w:p>
    <w:p w:rsidR="00C56D86" w:rsidRPr="0071055B" w:rsidRDefault="00C56D86" w:rsidP="0071055B">
      <w:pPr>
        <w:pStyle w:val="3"/>
        <w:numPr>
          <w:ilvl w:val="0"/>
          <w:numId w:val="18"/>
        </w:numPr>
        <w:tabs>
          <w:tab w:val="clear" w:pos="720"/>
        </w:tabs>
        <w:ind w:left="0" w:firstLine="709"/>
        <w:rPr>
          <w:rStyle w:val="a6"/>
          <w:b w:val="0"/>
          <w:bCs w:val="0"/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по результатам наблюдения за соблюдением обязательных требований (мониторинга безопасности);</w:t>
      </w:r>
    </w:p>
    <w:p w:rsidR="00C56D86" w:rsidRPr="0071055B" w:rsidRDefault="00C56D86" w:rsidP="0071055B">
      <w:pPr>
        <w:pStyle w:val="3"/>
        <w:numPr>
          <w:ilvl w:val="0"/>
          <w:numId w:val="18"/>
        </w:numPr>
        <w:tabs>
          <w:tab w:val="clear" w:pos="720"/>
        </w:tabs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по результатам выездного обследования.</w:t>
      </w:r>
      <w:r w:rsidRPr="0071055B">
        <w:rPr>
          <w:color w:val="auto"/>
          <w:sz w:val="22"/>
          <w:szCs w:val="22"/>
        </w:rPr>
        <w:br/>
        <w:t>Форма предписания утверждается приложением 3 к настоящему Положению.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случае выявления в ходе КНМ, проведенного во взаимодействии с контролируемым лицом, нарушения обязательных требований, за которое законодательством Российской Федерации предусмотрена административная и иная ответственность, </w:t>
      </w:r>
      <w:r w:rsidRPr="0071055B">
        <w:rPr>
          <w:rStyle w:val="a6"/>
          <w:color w:val="auto"/>
          <w:sz w:val="22"/>
          <w:szCs w:val="22"/>
        </w:rPr>
        <w:t>должностные лица Контрольного органа обязаны направить в орган государственного земельного надзора копию акта</w:t>
      </w:r>
      <w:r w:rsidRPr="0071055B">
        <w:rPr>
          <w:color w:val="auto"/>
          <w:sz w:val="22"/>
          <w:szCs w:val="22"/>
        </w:rPr>
        <w:t> такого контрольного (надзорного) мероприятия (пункт 4 статьи 72 ЗК РФ).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 xml:space="preserve">В случае выявления нарушения обязательных требований, за которое законодательством </w:t>
      </w:r>
      <w:r w:rsidRPr="0071055B">
        <w:rPr>
          <w:rStyle w:val="a6"/>
          <w:color w:val="auto"/>
          <w:sz w:val="22"/>
          <w:szCs w:val="22"/>
        </w:rPr>
        <w:t xml:space="preserve">субъекта Российской Федерации </w:t>
      </w:r>
      <w:r w:rsidRPr="0071055B">
        <w:rPr>
          <w:color w:val="auto"/>
          <w:sz w:val="22"/>
          <w:szCs w:val="22"/>
        </w:rPr>
        <w:t>предусмотрена административная ответственность, привлечение к ответственности осуществляется в соответствии с пунктом 7 статьи 72 ЗК РФ, КоАП РФ и законодательством Республики Саха (Якутия).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Контролируемое лицо, в отношении которого выявлены нарушения обязательных требований, вправе подать ходатайство о заключении с Контрольным органом соглашения о надлежащем устранении выявленных нарушений (далее – Соглашение) в соответствии со статьей 90.2 Федерального закона №248-ФЗ. Порядок заключения, изменения, продления, расторжения Соглашения определяется Правительством Российской Федерации. Соглашение подлежит согласованию с органами прокуратуры.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Контролируемое лицо обязано в установленный срок исполнить предписание и представить в Контрольный орган документы, подтверждающие исполнение.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 случае неисполнения предписания в установленный срок Контрольный орган принимает меры по обеспечению его исполнения, предусмотренные законодательством, вплоть до обращения в суд с заявлением о принудительном исполнении.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Вопросы, связанные с исполнением решений Контрольного органа (разъяснение порядка исполнения, отсрочка, приостановление, прекращение исполнения), рассматриваются в порядке, установленном статьей 94 Федерального закона №248-ФЗ по ходатайству контролируемого лица или по представлению инспектора.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ПОРЯДОК ОБЖАЛОВАНИЯ РЕШЕНИЙ И ДЕЙСТВИЙ (БЕЗДЕЙСТВИЯ) КОНТРОЛЬНОГО ОРГАНА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Контролируемые лица вправе обжаловать решения, действия (бездействие) Контрольного органа, его должностных лиц, если, по их мнению, такие решения, действия (бездействие) нарушают их права и законные интересы.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Обжалование осуществляется в </w:t>
      </w:r>
      <w:r w:rsidRPr="0071055B">
        <w:rPr>
          <w:rStyle w:val="a6"/>
          <w:color w:val="auto"/>
          <w:sz w:val="22"/>
          <w:szCs w:val="22"/>
        </w:rPr>
        <w:t>досудебном (внесудебном) порядке</w:t>
      </w:r>
      <w:r w:rsidRPr="0071055B">
        <w:rPr>
          <w:color w:val="auto"/>
          <w:sz w:val="22"/>
          <w:szCs w:val="22"/>
        </w:rPr>
        <w:t> в соответствии с главой 9 Федерального закона №248-ФЗ (статьи 40, 43), путем подачи жалобы в уполномоченный на рассмотрение жалобы орган в электронном виде с использованием единого портала государственных и муниципальных услуг, за исключением случаев, предусмотренных частью 1.1 статьи 40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Жалоба подается в сроки, установленные частями 5, 6 статьи 40 Федерального закона №248-ФЗ, и должна содержать сведения, предусмотренные законодательством. Жалоба подлежит рассмотрению в срок не более 15 рабочих дней, а жалоба на решение об отнесении объектов контроля к категории риска – не более 5 рабочих дней (части 2, 2.1 статьи 43 Федерального закона №248-ФЗ).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Результаты рассмотрения жалобы оформляются решением об удовлетворении жалобы полностью или частично либо об отказе в ее удовлетворении в соответствии с частью 6 статьи 43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Решения и действия (бездействие) Контрольного органа, его должностных лиц могут быть также обжалованы в судебном порядке в соответствии с законодательством Российской Федерации.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both"/>
        <w:rPr>
          <w:rStyle w:val="a6"/>
          <w:b w:val="0"/>
          <w:sz w:val="22"/>
          <w:szCs w:val="22"/>
        </w:rPr>
      </w:pPr>
    </w:p>
    <w:p w:rsidR="00C56D86" w:rsidRPr="0071055B" w:rsidRDefault="00C56D86" w:rsidP="0071055B">
      <w:pPr>
        <w:pStyle w:val="1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ВЗАИМОДЕЙСТВИЕ С ОРГАНАМИ ГОСУДАРСТВЕННОГО ЗЕМЕЛЬНОГО НАДЗОРА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lastRenderedPageBreak/>
        <w:t>Контрольный орган осуществляет взаимодействие с органами государственного земельного надзора в порядке, установленном Правительством Российской Федерации (пункт 6 статьи 72 ЗК РФ).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Орган государственного земельного надзора в срок не позднее пяти рабочих дней со дня поступления от Контрольного органа копии акта контрольного (надзорного) мероприятия, указанного в пункте 5.3 настоящего Положения, обязан рассмотреть указанный акт и принять решение в соответствии с Федеральным законом №248-ФЗ, а также направить копию принятого решения в Контрольный орган (пункт 5 статьи 72 ЗК РФ).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Контрольный орган осуществляет межведомственное информационное взаимодействие с федеральными органами исполнительной власти, органами государственной власти Республики Саха (Якутия), иными органами местного самоуправления, организациями в целях получения документов и сведений, необходимых для осуществления муниципального контроля, в соответствии со статьей 20 Федерального закона №248-ФЗ.</w:t>
      </w:r>
    </w:p>
    <w:p w:rsidR="00C56D86" w:rsidRPr="0071055B" w:rsidRDefault="00C56D86" w:rsidP="0071055B">
      <w:pPr>
        <w:pStyle w:val="2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Обмен информацией осуществляется на безвозмездной основе, в том числе в электронной форме, с соблюдением требований законодательства о защите государственной и иной охраняемой законом тайны.</w:t>
      </w:r>
    </w:p>
    <w:p w:rsidR="00C56D86" w:rsidRPr="0071055B" w:rsidRDefault="00C56D86" w:rsidP="0071055B">
      <w:pPr>
        <w:spacing w:after="0" w:line="240" w:lineRule="auto"/>
        <w:rPr>
          <w:rStyle w:val="a6"/>
          <w:rFonts w:ascii="Times New Roman" w:eastAsiaTheme="majorEastAsia" w:hAnsi="Times New Roman" w:cs="Times New Roman"/>
          <w:b w:val="0"/>
        </w:rPr>
      </w:pPr>
      <w:r w:rsidRPr="0071055B">
        <w:rPr>
          <w:rStyle w:val="a6"/>
          <w:rFonts w:ascii="Times New Roman" w:hAnsi="Times New Roman" w:cs="Times New Roman"/>
        </w:rPr>
        <w:br w:type="page"/>
      </w:r>
    </w:p>
    <w:p w:rsidR="00C56D86" w:rsidRPr="0071055B" w:rsidRDefault="00C56D86" w:rsidP="0071055B">
      <w:pPr>
        <w:pStyle w:val="30"/>
        <w:keepLines w:val="0"/>
        <w:widowControl/>
        <w:numPr>
          <w:ilvl w:val="2"/>
          <w:numId w:val="0"/>
        </w:numPr>
        <w:shd w:val="clear" w:color="auto" w:fill="FFFFFF"/>
        <w:tabs>
          <w:tab w:val="num" w:pos="0"/>
        </w:tabs>
        <w:spacing w:before="0" w:after="0"/>
        <w:ind w:firstLine="709"/>
        <w:jc w:val="right"/>
        <w:rPr>
          <w:rFonts w:cs="Times New Roman"/>
          <w:color w:val="auto"/>
          <w:sz w:val="22"/>
          <w:szCs w:val="22"/>
        </w:rPr>
      </w:pPr>
      <w:r w:rsidRPr="0071055B">
        <w:rPr>
          <w:rStyle w:val="a6"/>
          <w:rFonts w:cs="Times New Roman"/>
          <w:color w:val="auto"/>
          <w:sz w:val="22"/>
          <w:szCs w:val="22"/>
        </w:rPr>
        <w:lastRenderedPageBreak/>
        <w:t>ПРИЛОЖЕНИЕ №1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rFonts w:eastAsiaTheme="majorEastAsia"/>
          <w:b w:val="0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>к Положению о муниципальном земельном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rFonts w:eastAsiaTheme="majorEastAsia"/>
          <w:b w:val="0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 xml:space="preserve"> контроле в границах Городского округа «</w:t>
      </w:r>
      <w:proofErr w:type="spellStart"/>
      <w:r w:rsidRPr="0071055B">
        <w:rPr>
          <w:rStyle w:val="a6"/>
          <w:rFonts w:eastAsiaTheme="majorEastAsia"/>
          <w:sz w:val="22"/>
          <w:szCs w:val="22"/>
        </w:rPr>
        <w:t>Жатай</w:t>
      </w:r>
      <w:proofErr w:type="spellEnd"/>
      <w:r w:rsidRPr="0071055B">
        <w:rPr>
          <w:rStyle w:val="a6"/>
          <w:rFonts w:eastAsiaTheme="majorEastAsia"/>
          <w:sz w:val="22"/>
          <w:szCs w:val="22"/>
        </w:rPr>
        <w:t>»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sz w:val="22"/>
          <w:szCs w:val="22"/>
        </w:rPr>
      </w:pP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rFonts w:eastAsiaTheme="majorEastAsia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>КРИТЕРИИ ОТНЕСЕНИЯ ОБЪЕКТОВ КОНТРОЛЯ К КАТЕГОРИЯМ РИСКА ПРИЧИНЕНИЯ ВРЕДА (УЩЕРБА) ОХРАНЯЕМЫМ ЗАКОНОМ ЦЕННОСТЯМ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sz w:val="22"/>
          <w:szCs w:val="22"/>
        </w:rPr>
      </w:pPr>
    </w:p>
    <w:p w:rsidR="00C56D86" w:rsidRPr="0071055B" w:rsidRDefault="00C56D86" w:rsidP="0071055B">
      <w:pPr>
        <w:pStyle w:val="1"/>
        <w:numPr>
          <w:ilvl w:val="0"/>
          <w:numId w:val="22"/>
        </w:numPr>
        <w:ind w:left="0" w:firstLine="709"/>
        <w:jc w:val="both"/>
        <w:rPr>
          <w:rStyle w:val="a6"/>
          <w:rFonts w:eastAsiaTheme="majorEastAsia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К категории СРЕДНЕГО РИСКА относятся земельные участки: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Предназначенные для следующих видов разрешенного использования (ВРИ) в границах населенных пунктов: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Для индивидуального жилищного строительства (код 2.1);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Для ведения личного подсобного хозяйства (приусадебный земельный участок) (код 2.2);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Блокированная жилая застройка (код 2.3);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Малоэтажная многоквартирная жилая застройка (код 2.1.1);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proofErr w:type="spellStart"/>
      <w:r w:rsidRPr="0071055B">
        <w:rPr>
          <w:color w:val="auto"/>
          <w:sz w:val="22"/>
          <w:szCs w:val="22"/>
        </w:rPr>
        <w:t>Среднеэтажная</w:t>
      </w:r>
      <w:proofErr w:type="spellEnd"/>
      <w:r w:rsidRPr="0071055B">
        <w:rPr>
          <w:color w:val="auto"/>
          <w:sz w:val="22"/>
          <w:szCs w:val="22"/>
        </w:rPr>
        <w:t xml:space="preserve"> жилая застройка (код 2.5);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Многоэтажная жилая застройка (высотная застройка) (код 2.6).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Находящиеся в государственной или муниципальной собственности, не разграниченной, и используемые без оформленных прав на земельный участок.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Земельные участки с ВРИ: сельскохозяйственное использование (1.0), растениеводство (1.1), животноводство (1.7), питомники (1.17), обеспечение сельскохозяйственного производства (1.18).</w:t>
      </w:r>
    </w:p>
    <w:p w:rsidR="00C56D86" w:rsidRPr="0071055B" w:rsidRDefault="00C56D86" w:rsidP="0071055B">
      <w:pPr>
        <w:pStyle w:val="1"/>
        <w:numPr>
          <w:ilvl w:val="0"/>
          <w:numId w:val="22"/>
        </w:numPr>
        <w:ind w:left="0" w:firstLine="709"/>
        <w:jc w:val="both"/>
        <w:rPr>
          <w:rStyle w:val="a6"/>
          <w:rFonts w:eastAsiaTheme="majorEastAsia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К категории УМЕРЕННОГО РИСКА относятся земельные участки со следующими видами разрешенного использования (ВРИ):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rStyle w:val="a6"/>
          <w:rFonts w:eastAsiaTheme="majorEastAsia"/>
          <w:b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Предпринимательство: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Объекты торговли (торговые центры...) (код 4.2);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Рынки (4.3);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Магазины (4.4);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Общественное питание (4.6);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Гостиничное обслуживание (4.7);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Объекты дорожного сервиса (4.9.1), включая заправки (4.9.1.1), мойки (4.9.1.3), ремонт (4.9.1.4);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Стоянка транспортных средств (4.9.2);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Служебные гаражи (4.9).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rStyle w:val="a6"/>
          <w:rFonts w:eastAsiaTheme="majorEastAsia"/>
          <w:b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Промышленность, энергетика, связь, склады (кроме указанных в п.1.3):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Тяжелая промышленность (6.2), включая автомобилестроение (6.2.1);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Легкая промышленность (6.3);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Пищевая промышленность (6.4);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Строительная промышленность (6.6);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Энергетика (6.7), кроме атомной (6.7.1);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Целлюлозно-бумажная промышленность (6.11);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Связь (6.8);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Склад (6.9) и складские площадки (6.9.1).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Транспорт:</w:t>
      </w:r>
      <w:r w:rsidRPr="0071055B">
        <w:rPr>
          <w:color w:val="auto"/>
          <w:sz w:val="22"/>
          <w:szCs w:val="22"/>
        </w:rPr>
        <w:t> Автомобильный транспорт (7.2).</w:t>
      </w:r>
    </w:p>
    <w:p w:rsidR="00C56D86" w:rsidRPr="0071055B" w:rsidRDefault="00C56D86" w:rsidP="0071055B">
      <w:pPr>
        <w:pStyle w:val="2"/>
        <w:numPr>
          <w:ilvl w:val="1"/>
          <w:numId w:val="22"/>
        </w:numPr>
        <w:ind w:left="0" w:firstLine="709"/>
        <w:rPr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Садоводство и огородничество:</w:t>
      </w:r>
      <w:r w:rsidRPr="0071055B">
        <w:rPr>
          <w:color w:val="auto"/>
          <w:sz w:val="22"/>
          <w:szCs w:val="22"/>
        </w:rPr>
        <w:t> Ведение садоводства (код 13.2); Ведение огородничества (13.1); Садоводство (1.5).</w:t>
      </w:r>
    </w:p>
    <w:p w:rsidR="00C56D86" w:rsidRPr="0071055B" w:rsidRDefault="00C56D86" w:rsidP="0071055B">
      <w:pPr>
        <w:pStyle w:val="1"/>
        <w:numPr>
          <w:ilvl w:val="0"/>
          <w:numId w:val="22"/>
        </w:numPr>
        <w:ind w:left="0" w:firstLine="709"/>
        <w:jc w:val="both"/>
        <w:rPr>
          <w:rStyle w:val="a6"/>
          <w:rFonts w:eastAsiaTheme="majorEastAsia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К категории НИЗКОГО РИСКА относятся все иные земельные участки, не отнесенные к категориям высокого, среднего или умеренного риска, включая участки для общего пользования (12.0), земли запаса (12.3), поверхностные водные объекты (11.0) и т.д.</w:t>
      </w:r>
    </w:p>
    <w:p w:rsidR="00C56D86" w:rsidRPr="0071055B" w:rsidRDefault="00C56D86" w:rsidP="0071055B">
      <w:pPr>
        <w:spacing w:after="0" w:line="240" w:lineRule="auto"/>
        <w:ind w:firstLine="709"/>
        <w:rPr>
          <w:rStyle w:val="a6"/>
          <w:rFonts w:ascii="Times New Roman" w:hAnsi="Times New Roman" w:cs="Times New Roman"/>
          <w:b w:val="0"/>
        </w:rPr>
      </w:pPr>
      <w:r w:rsidRPr="0071055B">
        <w:rPr>
          <w:rStyle w:val="a6"/>
          <w:rFonts w:ascii="Times New Roman" w:hAnsi="Times New Roman" w:cs="Times New Roman"/>
        </w:rPr>
        <w:br w:type="page"/>
      </w:r>
    </w:p>
    <w:p w:rsidR="00C56D86" w:rsidRPr="0071055B" w:rsidRDefault="00C56D86" w:rsidP="0071055B">
      <w:pPr>
        <w:pStyle w:val="30"/>
        <w:keepLines w:val="0"/>
        <w:widowControl/>
        <w:numPr>
          <w:ilvl w:val="2"/>
          <w:numId w:val="0"/>
        </w:numPr>
        <w:shd w:val="clear" w:color="auto" w:fill="FFFFFF"/>
        <w:tabs>
          <w:tab w:val="num" w:pos="0"/>
        </w:tabs>
        <w:spacing w:before="0" w:after="0"/>
        <w:ind w:firstLine="709"/>
        <w:jc w:val="right"/>
        <w:rPr>
          <w:rFonts w:cs="Times New Roman"/>
          <w:color w:val="auto"/>
          <w:sz w:val="22"/>
          <w:szCs w:val="22"/>
        </w:rPr>
      </w:pPr>
      <w:r w:rsidRPr="0071055B">
        <w:rPr>
          <w:rStyle w:val="a6"/>
          <w:rFonts w:cs="Times New Roman"/>
          <w:color w:val="auto"/>
          <w:sz w:val="22"/>
          <w:szCs w:val="22"/>
        </w:rPr>
        <w:lastRenderedPageBreak/>
        <w:t>ПРИЛОЖЕНИЕ №2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rFonts w:eastAsiaTheme="majorEastAsia"/>
          <w:b w:val="0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>к Положению о муниципальном земельном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rFonts w:eastAsiaTheme="majorEastAsia"/>
          <w:b w:val="0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 xml:space="preserve"> контроле в границах Городского округа «</w:t>
      </w:r>
      <w:proofErr w:type="spellStart"/>
      <w:r w:rsidRPr="0071055B">
        <w:rPr>
          <w:rStyle w:val="a6"/>
          <w:rFonts w:eastAsiaTheme="majorEastAsia"/>
          <w:sz w:val="22"/>
          <w:szCs w:val="22"/>
        </w:rPr>
        <w:t>Жатай</w:t>
      </w:r>
      <w:proofErr w:type="spellEnd"/>
      <w:r w:rsidRPr="0071055B">
        <w:rPr>
          <w:rStyle w:val="a6"/>
          <w:rFonts w:eastAsiaTheme="majorEastAsia"/>
          <w:sz w:val="22"/>
          <w:szCs w:val="22"/>
        </w:rPr>
        <w:t>»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right"/>
        <w:rPr>
          <w:rStyle w:val="a6"/>
          <w:rFonts w:eastAsiaTheme="majorEastAsia"/>
          <w:b w:val="0"/>
          <w:sz w:val="22"/>
          <w:szCs w:val="22"/>
        </w:rPr>
      </w:pP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rStyle w:val="a6"/>
          <w:rFonts w:eastAsiaTheme="majorEastAsia"/>
          <w:sz w:val="22"/>
          <w:szCs w:val="22"/>
        </w:rPr>
      </w:pPr>
      <w:r w:rsidRPr="0071055B">
        <w:rPr>
          <w:rStyle w:val="a6"/>
          <w:rFonts w:eastAsiaTheme="majorEastAsia"/>
          <w:sz w:val="22"/>
          <w:szCs w:val="22"/>
        </w:rPr>
        <w:t>ПЕРЕЧЕНЬ ИНДИКАТОРОВ РИСКА НАРУШЕНИЯ ОБЯЗАТЕЛЬНЫХ ТРЕБОВАНИЙ, ИСПОЛЬЗУЕМЫХ ПРИ ОРГАНИЗАЦИИ КОНТРОЛЬНЫХ МЕРОПРИЯТИЙ</w:t>
      </w:r>
    </w:p>
    <w:p w:rsidR="00C56D86" w:rsidRPr="0071055B" w:rsidRDefault="00C56D86" w:rsidP="0071055B">
      <w:pPr>
        <w:pStyle w:val="ds-markdown-paragraph"/>
        <w:shd w:val="clear" w:color="auto" w:fill="FFFFFF"/>
        <w:spacing w:before="0" w:beforeAutospacing="0" w:after="0" w:afterAutospacing="0"/>
        <w:ind w:firstLine="709"/>
        <w:jc w:val="center"/>
        <w:rPr>
          <w:sz w:val="22"/>
          <w:szCs w:val="22"/>
        </w:rPr>
      </w:pPr>
    </w:p>
    <w:p w:rsidR="00C56D86" w:rsidRPr="0071055B" w:rsidRDefault="00C56D86" w:rsidP="0071055B">
      <w:pPr>
        <w:pStyle w:val="1"/>
        <w:numPr>
          <w:ilvl w:val="0"/>
          <w:numId w:val="21"/>
        </w:numPr>
        <w:rPr>
          <w:rStyle w:val="a6"/>
          <w:b w:val="0"/>
          <w:bCs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ОБЩАЯ ЧАСТЬ И СФЕРА ПРИМЕНЕНИЯ</w:t>
      </w:r>
    </w:p>
    <w:p w:rsidR="00C56D86" w:rsidRPr="0071055B" w:rsidRDefault="00C56D86" w:rsidP="0071055B">
      <w:pPr>
        <w:pStyle w:val="7"/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Настоящий Перечень индикаторов риска разработан на основе перечня индикаторов риска нарушения обязательных требований, используемых в качестве оснований для проведения внеплановых проверок при осуществлении государственного земельного надзора, утвержденного приказом Федеральной службы государственной регистрации, кадастра и картографии (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 xml:space="preserve">) от 09 июля 2021 г. №П/0303 (далее – Перечень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);</w:t>
      </w:r>
    </w:p>
    <w:p w:rsidR="00C56D86" w:rsidRPr="0071055B" w:rsidRDefault="00C56D86" w:rsidP="0071055B">
      <w:pPr>
        <w:pStyle w:val="1"/>
        <w:numPr>
          <w:ilvl w:val="1"/>
          <w:numId w:val="23"/>
        </w:numPr>
        <w:ind w:left="0" w:firstLine="709"/>
        <w:jc w:val="both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При осуществлении муниципального контроля </w:t>
      </w:r>
      <w:r w:rsidRPr="0071055B">
        <w:rPr>
          <w:rStyle w:val="a6"/>
          <w:rFonts w:eastAsiaTheme="majorEastAsia"/>
          <w:color w:val="auto"/>
          <w:sz w:val="22"/>
          <w:szCs w:val="22"/>
        </w:rPr>
        <w:t>в отношении всех земельных участков</w:t>
      </w:r>
      <w:r w:rsidRPr="0071055B">
        <w:rPr>
          <w:color w:val="auto"/>
          <w:sz w:val="22"/>
          <w:szCs w:val="22"/>
        </w:rPr>
        <w:t> применяются индикаторы риска, указанные в разделе 2 настоящего Перечня, разработанные с учетом специфики территории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 xml:space="preserve">» на основе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.</w:t>
      </w:r>
    </w:p>
    <w:p w:rsidR="00C56D86" w:rsidRPr="0071055B" w:rsidRDefault="00C56D86" w:rsidP="0071055B">
      <w:pPr>
        <w:pStyle w:val="2"/>
        <w:numPr>
          <w:ilvl w:val="0"/>
          <w:numId w:val="0"/>
        </w:numPr>
        <w:ind w:firstLine="709"/>
        <w:rPr>
          <w:color w:val="auto"/>
          <w:sz w:val="22"/>
          <w:szCs w:val="22"/>
        </w:rPr>
      </w:pPr>
    </w:p>
    <w:p w:rsidR="00C56D86" w:rsidRPr="0071055B" w:rsidRDefault="00C56D86" w:rsidP="0071055B">
      <w:pPr>
        <w:pStyle w:val="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ИНДИКАТОРЫ РИСКА, ПРИМЕНЯЕМЫЕ КО ВСЕМ КАТЕГОРИЯМ ЗЕМЕЛЬ (НА ОСНОВЕ ПЕРЕЧНЯ РОСРЕЕСТРА)</w:t>
      </w:r>
    </w:p>
    <w:p w:rsidR="00C56D86" w:rsidRPr="0071055B" w:rsidRDefault="00C56D86" w:rsidP="0071055B">
      <w:pPr>
        <w:pStyle w:val="7"/>
        <w:ind w:left="0" w:firstLine="709"/>
        <w:rPr>
          <w:rStyle w:val="a6"/>
          <w:rFonts w:eastAsiaTheme="majorEastAsia"/>
          <w:b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Индикаторы, связанные с использованием земельного участка:</w:t>
      </w:r>
    </w:p>
    <w:p w:rsidR="00C56D86" w:rsidRPr="0071055B" w:rsidRDefault="00C56D86" w:rsidP="0071055B">
      <w:pPr>
        <w:pStyle w:val="8"/>
        <w:rPr>
          <w:rStyle w:val="a6"/>
          <w:b w:val="0"/>
          <w:bCs w:val="0"/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 xml:space="preserve">Отклонение местоположения характерной точки границы земельного участка относительно местоположения границы земельного участка, сведения о котором содержатся в Едином государственном реестре недвижимости (ЕГРН), на величину, превышающую значения точности (средней </w:t>
      </w:r>
      <w:proofErr w:type="spellStart"/>
      <w:r w:rsidRPr="0071055B">
        <w:rPr>
          <w:rStyle w:val="a6"/>
          <w:color w:val="auto"/>
          <w:sz w:val="22"/>
          <w:szCs w:val="22"/>
        </w:rPr>
        <w:t>квадратической</w:t>
      </w:r>
      <w:proofErr w:type="spellEnd"/>
      <w:r w:rsidRPr="0071055B">
        <w:rPr>
          <w:rStyle w:val="a6"/>
          <w:color w:val="auto"/>
          <w:sz w:val="22"/>
          <w:szCs w:val="22"/>
        </w:rPr>
        <w:t xml:space="preserve"> погрешности) определения координат характерных точек границ земельных участков, установленное приказом Федеральной службы государственной регистрации, кадастра и картографии от 23 октября 2020 г. №П/0393 "Об утверждении требований 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</w:r>
      <w:proofErr w:type="spellStart"/>
      <w:r w:rsidRPr="0071055B">
        <w:rPr>
          <w:rStyle w:val="a6"/>
          <w:color w:val="auto"/>
          <w:sz w:val="22"/>
          <w:szCs w:val="22"/>
        </w:rPr>
        <w:t>машино</w:t>
      </w:r>
      <w:proofErr w:type="spellEnd"/>
      <w:r w:rsidRPr="0071055B">
        <w:rPr>
          <w:rStyle w:val="a6"/>
          <w:color w:val="auto"/>
          <w:sz w:val="22"/>
          <w:szCs w:val="22"/>
        </w:rPr>
        <w:t>-места".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Несоответствие использования виду разрешенного использования (ВРИ):</w:t>
      </w:r>
      <w:r w:rsidRPr="0071055B">
        <w:rPr>
          <w:color w:val="auto"/>
          <w:sz w:val="22"/>
          <w:szCs w:val="22"/>
        </w:rPr>
        <w:t xml:space="preserve"> Несоответствие фактического использования земельного участка виду разрешенного использования, сведения о котором содержатся в Едином государственном реестре недвижимости (ЕГРН) (адаптировано на основе п. 4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Использование земельного участка при отсутствии зарегистрированных прав:</w:t>
      </w:r>
      <w:r w:rsidRPr="0071055B">
        <w:rPr>
          <w:color w:val="auto"/>
          <w:sz w:val="22"/>
          <w:szCs w:val="22"/>
        </w:rPr>
        <w:t xml:space="preserve"> Наличие визуальных или документально подтвержденных признаков активного использования земельного участка (размещение объектов, ведение хозяйственной деятельности) при отсутствии в ЕГРН сведений о зарегистрированных правах на данный земельный участок у лица, его использующего (адаптировано на основе п. 3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proofErr w:type="spellStart"/>
      <w:r w:rsidRPr="0071055B">
        <w:rPr>
          <w:rStyle w:val="a6"/>
          <w:color w:val="auto"/>
          <w:sz w:val="22"/>
          <w:szCs w:val="22"/>
        </w:rPr>
        <w:t>Неосвоение</w:t>
      </w:r>
      <w:proofErr w:type="spellEnd"/>
      <w:r w:rsidRPr="0071055B">
        <w:rPr>
          <w:rStyle w:val="a6"/>
          <w:color w:val="auto"/>
          <w:sz w:val="22"/>
          <w:szCs w:val="22"/>
        </w:rPr>
        <w:t xml:space="preserve"> земельного участка, предоставленного для строительства или ведения садоводства/огородничества:</w:t>
      </w:r>
      <w:r w:rsidRPr="0071055B">
        <w:rPr>
          <w:color w:val="auto"/>
          <w:sz w:val="22"/>
          <w:szCs w:val="22"/>
        </w:rPr>
        <w:t> Отсутствие объектов капитального строительства или признаков ведения садоводства/огородничества на земельном участке, предоставленном для индивидуального жилищного строительства, ведения дачного хозяйства, садоводства или огородничества, по истечении </w:t>
      </w:r>
      <w:r w:rsidRPr="0071055B">
        <w:rPr>
          <w:rStyle w:val="a6"/>
          <w:color w:val="auto"/>
          <w:sz w:val="22"/>
          <w:szCs w:val="22"/>
        </w:rPr>
        <w:t>трех лет</w:t>
      </w:r>
      <w:r w:rsidRPr="0071055B">
        <w:rPr>
          <w:color w:val="auto"/>
          <w:sz w:val="22"/>
          <w:szCs w:val="22"/>
        </w:rPr>
        <w:t xml:space="preserve"> с даты государственной регистрации права собственности на такой земельный участок (адаптировано на основе п. 5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Неправомерное использование земель государственной или муниципальной собственности:</w:t>
      </w:r>
      <w:r w:rsidRPr="0071055B">
        <w:rPr>
          <w:color w:val="auto"/>
          <w:sz w:val="22"/>
          <w:szCs w:val="22"/>
        </w:rPr>
        <w:t> Наличие информации (включая данные мониторинга) о завершении на земельном участке, находящемся в государственной или муниципальной собственности и используемом без оформленных прав, временных работ (инженерные изыскания, ремонт линейных объектов, складирование материалов и т.п.) более </w:t>
      </w:r>
      <w:r w:rsidRPr="0071055B">
        <w:rPr>
          <w:rStyle w:val="a6"/>
          <w:color w:val="auto"/>
          <w:sz w:val="22"/>
          <w:szCs w:val="22"/>
        </w:rPr>
        <w:t>шести месяцев</w:t>
      </w:r>
      <w:r w:rsidRPr="0071055B">
        <w:rPr>
          <w:color w:val="auto"/>
          <w:sz w:val="22"/>
          <w:szCs w:val="22"/>
        </w:rPr>
        <w:t xml:space="preserve"> назад, при отсутствии признаков использования участка по иному законному основанию (адаптировано на основе п. 8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Уточнение содержащихся в ЕГРН сведений о местоположении границ земельного участка, принадлежащего контролируемому лицу на праве собственности, на основании межевого плана, подготовленного кадастровым инженером, который в течение трех месяцев после уточнения указанных сведений привлечен к административной ответственности за внесение заведомо ложных сведений в межевой план, технический план, акт обследования, проект межевания земельного участка или земельных участков либо карту-план территории или подлог документов, на основании которых были подготовлены межевой план, технический план, акт обследования, проект межевания земельного участка или земельных участков либо карта-план территории.</w:t>
      </w:r>
    </w:p>
    <w:p w:rsidR="00C56D86" w:rsidRPr="0071055B" w:rsidRDefault="00C56D86" w:rsidP="0071055B">
      <w:pPr>
        <w:pStyle w:val="7"/>
        <w:ind w:left="0" w:firstLine="709"/>
        <w:rPr>
          <w:rStyle w:val="a6"/>
          <w:rFonts w:eastAsiaTheme="majorEastAsia"/>
          <w:b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Индикаторы, связанные с состоянием и охраной земель: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lastRenderedPageBreak/>
        <w:t>Захламление земельного участка отходами:</w:t>
      </w:r>
      <w:r w:rsidRPr="0071055B">
        <w:rPr>
          <w:color w:val="auto"/>
          <w:sz w:val="22"/>
          <w:szCs w:val="22"/>
        </w:rPr>
        <w:t> Наличие на земельном участке несанкционированных свалок, навалов или размещение отходов производства и потребления, не связанное с разрешенной хозяйственной деятельностью.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Признаки химического или иного негативного воздействия:</w:t>
      </w:r>
      <w:r w:rsidRPr="0071055B">
        <w:rPr>
          <w:color w:val="auto"/>
          <w:sz w:val="22"/>
          <w:szCs w:val="22"/>
        </w:rPr>
        <w:t> Наличие визуальных признаков загрязнения почв химическими веществами, нефтепродуктами, признаков деградации земель (эрозия, подтопление, заболачивание) в результате хозяйственной деятельности.</w:t>
      </w:r>
    </w:p>
    <w:p w:rsidR="00C56D86" w:rsidRPr="0071055B" w:rsidRDefault="00C56D86" w:rsidP="0071055B">
      <w:pPr>
        <w:pStyle w:val="7"/>
        <w:ind w:left="0" w:firstLine="709"/>
        <w:rPr>
          <w:rStyle w:val="a6"/>
          <w:rFonts w:eastAsiaTheme="majorEastAsia"/>
          <w:b w:val="0"/>
          <w:color w:val="auto"/>
          <w:sz w:val="22"/>
          <w:szCs w:val="22"/>
        </w:rPr>
      </w:pPr>
      <w:r w:rsidRPr="0071055B">
        <w:rPr>
          <w:rStyle w:val="a6"/>
          <w:rFonts w:eastAsiaTheme="majorEastAsia"/>
          <w:color w:val="auto"/>
          <w:sz w:val="22"/>
          <w:szCs w:val="22"/>
        </w:rPr>
        <w:t>Иные индикаторы риска:</w:t>
      </w:r>
    </w:p>
    <w:p w:rsidR="00C56D86" w:rsidRPr="0071055B" w:rsidRDefault="00C56D86" w:rsidP="0071055B">
      <w:pPr>
        <w:pStyle w:val="8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 xml:space="preserve">Административная </w:t>
      </w:r>
      <w:proofErr w:type="spellStart"/>
      <w:r w:rsidRPr="0071055B">
        <w:rPr>
          <w:rStyle w:val="a6"/>
          <w:color w:val="auto"/>
          <w:sz w:val="22"/>
          <w:szCs w:val="22"/>
        </w:rPr>
        <w:t>прецедентность</w:t>
      </w:r>
      <w:proofErr w:type="spellEnd"/>
      <w:r w:rsidRPr="0071055B">
        <w:rPr>
          <w:rStyle w:val="a6"/>
          <w:color w:val="auto"/>
          <w:sz w:val="22"/>
          <w:szCs w:val="22"/>
        </w:rPr>
        <w:t>:</w:t>
      </w:r>
      <w:r w:rsidRPr="0071055B">
        <w:rPr>
          <w:color w:val="auto"/>
          <w:sz w:val="22"/>
          <w:szCs w:val="22"/>
        </w:rPr>
        <w:t> Наличие у Контрольного органа информации о привлечении правообладателя земельного участка к административной ответственности за нарушение земельного законодательства в течение последних </w:t>
      </w:r>
      <w:r w:rsidRPr="0071055B">
        <w:rPr>
          <w:rStyle w:val="a6"/>
          <w:color w:val="auto"/>
          <w:sz w:val="22"/>
          <w:szCs w:val="22"/>
        </w:rPr>
        <w:t>трех лет</w:t>
      </w:r>
      <w:r w:rsidRPr="0071055B">
        <w:rPr>
          <w:color w:val="auto"/>
          <w:sz w:val="22"/>
          <w:szCs w:val="22"/>
        </w:rPr>
        <w:t> в отношении другого принадлежащего ему земельного участка, расположенного на территории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 xml:space="preserve">» (адаптировано на основе п. 9 Перечня </w:t>
      </w:r>
      <w:proofErr w:type="spellStart"/>
      <w:r w:rsidRPr="0071055B">
        <w:rPr>
          <w:color w:val="auto"/>
          <w:sz w:val="22"/>
          <w:szCs w:val="22"/>
        </w:rPr>
        <w:t>Росреестра</w:t>
      </w:r>
      <w:proofErr w:type="spellEnd"/>
      <w:r w:rsidRPr="0071055B">
        <w:rPr>
          <w:color w:val="auto"/>
          <w:sz w:val="22"/>
          <w:szCs w:val="22"/>
        </w:rPr>
        <w:t>).</w:t>
      </w:r>
    </w:p>
    <w:p w:rsidR="00C56D86" w:rsidRPr="0071055B" w:rsidRDefault="00C56D86" w:rsidP="0071055B">
      <w:pPr>
        <w:pStyle w:val="4"/>
        <w:numPr>
          <w:ilvl w:val="0"/>
          <w:numId w:val="0"/>
        </w:numPr>
        <w:ind w:left="709"/>
        <w:rPr>
          <w:sz w:val="22"/>
          <w:szCs w:val="22"/>
        </w:rPr>
      </w:pPr>
    </w:p>
    <w:p w:rsidR="00C56D86" w:rsidRPr="0071055B" w:rsidRDefault="00C56D86" w:rsidP="0071055B">
      <w:pPr>
        <w:pStyle w:val="9"/>
        <w:rPr>
          <w:color w:val="auto"/>
          <w:sz w:val="22"/>
          <w:szCs w:val="22"/>
        </w:rPr>
      </w:pPr>
      <w:r w:rsidRPr="0071055B">
        <w:rPr>
          <w:rStyle w:val="a6"/>
          <w:color w:val="auto"/>
          <w:sz w:val="22"/>
          <w:szCs w:val="22"/>
        </w:rPr>
        <w:t>ЗАКЛЮЧИТЕЛЬНОЕ ПОЛОЖЕНИЕ</w:t>
      </w:r>
    </w:p>
    <w:p w:rsidR="00C56D86" w:rsidRPr="0071055B" w:rsidRDefault="00C56D86" w:rsidP="0071055B">
      <w:pPr>
        <w:pStyle w:val="7"/>
        <w:ind w:left="0" w:firstLine="709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Выявление одного или нескольких индикаторов риска, указанных в настоящем Перечне, является основанием для проведения профилактических мероприятий, а в случаях, предусмотренных Федеральным законом №248-ФЗ и разделом 4 Положения, – для организации внеплановых контрольных мероприятий.</w:t>
      </w: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br w:type="page"/>
      </w: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lastRenderedPageBreak/>
        <w:t>ПРИЛОЖЕНИЕ №3</w:t>
      </w:r>
      <w:r w:rsidRPr="0071055B">
        <w:rPr>
          <w:rFonts w:ascii="Times New Roman" w:eastAsia="Times New Roman" w:hAnsi="Times New Roman" w:cs="Times New Roman"/>
        </w:rPr>
        <w:br/>
      </w:r>
      <w:r w:rsidRPr="0071055B">
        <w:rPr>
          <w:rFonts w:ascii="Times New Roman" w:eastAsia="Times New Roman" w:hAnsi="Times New Roman" w:cs="Times New Roman"/>
          <w:bCs/>
        </w:rPr>
        <w:t>к Положению о муниципальном земельном контроле</w:t>
      </w:r>
      <w:r w:rsidRPr="0071055B">
        <w:rPr>
          <w:rFonts w:ascii="Times New Roman" w:eastAsia="Times New Roman" w:hAnsi="Times New Roman" w:cs="Times New Roman"/>
        </w:rPr>
        <w:br/>
      </w:r>
      <w:r w:rsidRPr="0071055B">
        <w:rPr>
          <w:rStyle w:val="a6"/>
          <w:rFonts w:ascii="Times New Roman" w:hAnsi="Times New Roman" w:cs="Times New Roman"/>
        </w:rPr>
        <w:t>в границах Городского округа «</w:t>
      </w:r>
      <w:proofErr w:type="spellStart"/>
      <w:r w:rsidRPr="0071055B">
        <w:rPr>
          <w:rStyle w:val="a6"/>
          <w:rFonts w:ascii="Times New Roman" w:hAnsi="Times New Roman" w:cs="Times New Roman"/>
        </w:rPr>
        <w:t>Жатай</w:t>
      </w:r>
      <w:proofErr w:type="spellEnd"/>
      <w:r w:rsidRPr="0071055B">
        <w:rPr>
          <w:rStyle w:val="a6"/>
          <w:rFonts w:ascii="Times New Roman" w:hAnsi="Times New Roman" w:cs="Times New Roman"/>
        </w:rPr>
        <w:t>»</w:t>
      </w:r>
    </w:p>
    <w:p w:rsidR="00C56D86" w:rsidRPr="0071055B" w:rsidRDefault="00C56D86" w:rsidP="0071055B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71055B">
        <w:rPr>
          <w:rFonts w:ascii="Times New Roman" w:hAnsi="Times New Roman" w:cs="Times New Roman"/>
          <w:i/>
        </w:rPr>
        <w:t xml:space="preserve">QR-код, обеспечивающий переход на страницу в информационно-телекоммуникационной сети "Интернет", содержащую запись единого реестра контрольных (надзорных) мероприятий о профилактическом мероприятии, контрольном (надзорном) мероприятии в </w:t>
      </w:r>
      <w:proofErr w:type="gramStart"/>
      <w:r w:rsidRPr="0071055B">
        <w:rPr>
          <w:rFonts w:ascii="Times New Roman" w:hAnsi="Times New Roman" w:cs="Times New Roman"/>
          <w:i/>
        </w:rPr>
        <w:t>едином  реестре</w:t>
      </w:r>
      <w:proofErr w:type="gramEnd"/>
      <w:r w:rsidRPr="0071055B">
        <w:rPr>
          <w:rFonts w:ascii="Times New Roman" w:hAnsi="Times New Roman" w:cs="Times New Roman"/>
          <w:i/>
        </w:rPr>
        <w:t xml:space="preserve"> контрольных (надзорных) мероприятий, в рамках  которого составлен документ:__________</w:t>
      </w:r>
    </w:p>
    <w:p w:rsidR="00C56D86" w:rsidRPr="0071055B" w:rsidRDefault="00C56D86" w:rsidP="0071055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</w:rPr>
      </w:pPr>
    </w:p>
    <w:p w:rsidR="00C56D86" w:rsidRPr="0071055B" w:rsidRDefault="00C56D86" w:rsidP="0071055B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71055B">
        <w:rPr>
          <w:rFonts w:ascii="Times New Roman" w:eastAsia="Times New Roman" w:hAnsi="Times New Roman" w:cs="Times New Roman"/>
          <w:b/>
          <w:bCs/>
        </w:rPr>
        <w:t>ФОРМА ПРЕДПИСАНИЯ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1055B">
        <w:rPr>
          <w:rFonts w:ascii="Times New Roman" w:eastAsia="Times New Roman" w:hAnsi="Times New Roman" w:cs="Times New Roman"/>
          <w:b/>
          <w:bCs/>
        </w:rPr>
        <w:t>об устранении выявленных нарушений обязательных требований к использованию и охране земель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t xml:space="preserve">Отдел имущественных и земельных отношений 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</w:rPr>
      </w:pPr>
      <w:r w:rsidRPr="0071055B">
        <w:rPr>
          <w:rFonts w:ascii="Times New Roman" w:eastAsia="Times New Roman" w:hAnsi="Times New Roman" w:cs="Times New Roman"/>
          <w:bCs/>
        </w:rPr>
        <w:t>Окружной Администрации Городского округа «</w:t>
      </w:r>
      <w:proofErr w:type="spellStart"/>
      <w:r w:rsidRPr="0071055B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Pr="0071055B">
        <w:rPr>
          <w:rFonts w:ascii="Times New Roman" w:eastAsia="Times New Roman" w:hAnsi="Times New Roman" w:cs="Times New Roman"/>
          <w:bCs/>
        </w:rPr>
        <w:t>»</w:t>
      </w:r>
      <w:r w:rsidRPr="0071055B">
        <w:rPr>
          <w:rFonts w:ascii="Times New Roman" w:eastAsia="Times New Roman" w:hAnsi="Times New Roman" w:cs="Times New Roman"/>
        </w:rPr>
        <w:br/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ПРЕДПИСАНИЕ №_________</w:t>
      </w:r>
      <w:r w:rsidRPr="0071055B">
        <w:rPr>
          <w:rFonts w:ascii="Times New Roman" w:eastAsia="Times New Roman" w:hAnsi="Times New Roman" w:cs="Times New Roman"/>
        </w:rPr>
        <w:br/>
        <w:t>от «</w:t>
      </w:r>
      <w:r w:rsidRPr="0071055B">
        <w:rPr>
          <w:rFonts w:ascii="Times New Roman" w:eastAsia="Times New Roman" w:hAnsi="Times New Roman" w:cs="Times New Roman"/>
        </w:rPr>
        <w:softHyphen/>
      </w:r>
      <w:r w:rsidRPr="0071055B">
        <w:rPr>
          <w:rFonts w:ascii="Times New Roman" w:eastAsia="Times New Roman" w:hAnsi="Times New Roman" w:cs="Times New Roman"/>
        </w:rPr>
        <w:softHyphen/>
      </w:r>
      <w:r w:rsidRPr="0071055B">
        <w:rPr>
          <w:rFonts w:ascii="Times New Roman" w:eastAsia="Times New Roman" w:hAnsi="Times New Roman" w:cs="Times New Roman"/>
        </w:rPr>
        <w:softHyphen/>
        <w:t>_</w:t>
      </w:r>
      <w:r w:rsidRPr="0071055B">
        <w:rPr>
          <w:rFonts w:ascii="Times New Roman" w:eastAsia="Times New Roman" w:hAnsi="Times New Roman" w:cs="Times New Roman"/>
        </w:rPr>
        <w:softHyphen/>
      </w:r>
      <w:r w:rsidRPr="0071055B">
        <w:rPr>
          <w:rFonts w:ascii="Times New Roman" w:eastAsia="Times New Roman" w:hAnsi="Times New Roman" w:cs="Times New Roman"/>
        </w:rPr>
        <w:softHyphen/>
      </w:r>
      <w:r w:rsidRPr="0071055B">
        <w:rPr>
          <w:rFonts w:ascii="Times New Roman" w:eastAsia="Times New Roman" w:hAnsi="Times New Roman" w:cs="Times New Roman"/>
          <w:bCs/>
        </w:rPr>
        <w:t>» ___________ 20___</w:t>
      </w:r>
      <w:r w:rsidRPr="0071055B">
        <w:rPr>
          <w:rFonts w:ascii="Times New Roman" w:eastAsia="Times New Roman" w:hAnsi="Times New Roman" w:cs="Times New Roman"/>
        </w:rPr>
        <w:t> г.</w:t>
      </w:r>
      <w:r w:rsidRPr="0071055B">
        <w:rPr>
          <w:rFonts w:ascii="Times New Roman" w:eastAsia="Times New Roman" w:hAnsi="Times New Roman" w:cs="Times New Roman"/>
        </w:rPr>
        <w:br/>
      </w:r>
      <w:r w:rsidRPr="0071055B">
        <w:rPr>
          <w:rFonts w:ascii="Times New Roman" w:eastAsia="Times New Roman" w:hAnsi="Times New Roman" w:cs="Times New Roman"/>
          <w:bCs/>
        </w:rPr>
        <w:t>Городской округ «</w:t>
      </w:r>
      <w:proofErr w:type="spellStart"/>
      <w:r w:rsidRPr="0071055B">
        <w:rPr>
          <w:rFonts w:ascii="Times New Roman" w:eastAsia="Times New Roman" w:hAnsi="Times New Roman" w:cs="Times New Roman"/>
          <w:bCs/>
        </w:rPr>
        <w:t>Жатай</w:t>
      </w:r>
      <w:proofErr w:type="spellEnd"/>
      <w:r w:rsidRPr="0071055B">
        <w:rPr>
          <w:rFonts w:ascii="Times New Roman" w:eastAsia="Times New Roman" w:hAnsi="Times New Roman" w:cs="Times New Roman"/>
          <w:bCs/>
        </w:rPr>
        <w:t>»</w:t>
      </w:r>
    </w:p>
    <w:p w:rsidR="00C56D86" w:rsidRPr="0071055B" w:rsidRDefault="00C56D86" w:rsidP="0071055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(выдано на основании)</w:t>
      </w:r>
    </w:p>
    <w:p w:rsidR="00C56D86" w:rsidRPr="0071055B" w:rsidRDefault="00C56D86" w:rsidP="0071055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i/>
          <w:iCs/>
        </w:rPr>
        <w:t>(выбрать одно или несколько оснований)</w:t>
      </w:r>
    </w:p>
    <w:p w:rsidR="00C56D86" w:rsidRPr="0071055B" w:rsidRDefault="00C56D86" w:rsidP="0071055B">
      <w:pPr>
        <w:pStyle w:val="4"/>
        <w:ind w:firstLine="0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Акта контрольного (надзорного) мероприятия от «_</w:t>
      </w:r>
      <w:r w:rsidRPr="0071055B">
        <w:rPr>
          <w:bCs/>
          <w:sz w:val="22"/>
          <w:szCs w:val="22"/>
        </w:rPr>
        <w:t>» ___________ 20__</w:t>
      </w:r>
      <w:r w:rsidRPr="0071055B">
        <w:rPr>
          <w:sz w:val="22"/>
          <w:szCs w:val="22"/>
        </w:rPr>
        <w:t> г. №_______</w:t>
      </w:r>
    </w:p>
    <w:p w:rsidR="00C56D86" w:rsidRPr="0071055B" w:rsidRDefault="00C56D86" w:rsidP="0071055B">
      <w:pPr>
        <w:pStyle w:val="4"/>
        <w:ind w:firstLine="0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Результатов наблюдения за соблюдением обязательных требований (мониторинга безопасности) от «_</w:t>
      </w:r>
      <w:r w:rsidRPr="0071055B">
        <w:rPr>
          <w:bCs/>
          <w:sz w:val="22"/>
          <w:szCs w:val="22"/>
        </w:rPr>
        <w:t>» ___________ 20__</w:t>
      </w:r>
      <w:r w:rsidRPr="0071055B">
        <w:rPr>
          <w:sz w:val="22"/>
          <w:szCs w:val="22"/>
        </w:rPr>
        <w:t> г.</w:t>
      </w:r>
    </w:p>
    <w:p w:rsidR="00C56D86" w:rsidRPr="0071055B" w:rsidRDefault="00C56D86" w:rsidP="0071055B">
      <w:pPr>
        <w:pStyle w:val="4"/>
        <w:ind w:firstLine="0"/>
        <w:jc w:val="both"/>
        <w:rPr>
          <w:sz w:val="22"/>
          <w:szCs w:val="22"/>
        </w:rPr>
      </w:pPr>
      <w:r w:rsidRPr="0071055B">
        <w:rPr>
          <w:sz w:val="22"/>
          <w:szCs w:val="22"/>
        </w:rPr>
        <w:t>Результатов выездного обследования от «_</w:t>
      </w:r>
      <w:r w:rsidRPr="0071055B">
        <w:rPr>
          <w:bCs/>
          <w:sz w:val="22"/>
          <w:szCs w:val="22"/>
        </w:rPr>
        <w:t>» ___________ 20___</w:t>
      </w:r>
      <w:r w:rsidRPr="0071055B">
        <w:rPr>
          <w:sz w:val="22"/>
          <w:szCs w:val="22"/>
        </w:rPr>
        <w:t> г.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t>Контролируемому лицу: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71055B">
        <w:rPr>
          <w:rFonts w:ascii="Times New Roman" w:eastAsia="Times New Roman" w:hAnsi="Times New Roman" w:cs="Times New Roman"/>
          <w:i/>
          <w:iCs/>
        </w:rPr>
        <w:t>Для юридического лица: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Наименование: ________________________________________________________________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ОГРН ______________________________ ИНН 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Адрес (место нахождения): 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71055B">
        <w:rPr>
          <w:rFonts w:ascii="Times New Roman" w:eastAsia="Times New Roman" w:hAnsi="Times New Roman" w:cs="Times New Roman"/>
          <w:i/>
          <w:iCs/>
        </w:rPr>
        <w:t>Для индивидуального предпринимателя: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ФИО: ________________________________________________________________________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ОГРНИП ______________________________ ИНН 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Адрес регистрации: ____________________________________________________________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71055B">
        <w:rPr>
          <w:rFonts w:ascii="Times New Roman" w:eastAsia="Times New Roman" w:hAnsi="Times New Roman" w:cs="Times New Roman"/>
          <w:i/>
          <w:iCs/>
        </w:rPr>
        <w:t>Для гражданина: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ФИО: ________________________________________________________________________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71055B">
        <w:rPr>
          <w:rFonts w:ascii="Times New Roman" w:eastAsia="Times New Roman" w:hAnsi="Times New Roman" w:cs="Times New Roman"/>
        </w:rPr>
        <w:t>Паспорт: серия ______ №__________, выдан 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Адрес регистрации: ____________________________________________________________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В отношении объекта контроля:</w:t>
      </w:r>
    </w:p>
    <w:p w:rsidR="00C56D86" w:rsidRPr="0071055B" w:rsidRDefault="00C56D86" w:rsidP="0071055B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71055B">
        <w:rPr>
          <w:rFonts w:ascii="Times New Roman" w:eastAsia="Times New Roman" w:hAnsi="Times New Roman" w:cs="Times New Roman"/>
        </w:rPr>
        <w:t>Земельный участок с кадастровым номером: ________________________________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i/>
          <w:iCs/>
        </w:rPr>
        <w:t>(при отсутствии кадастрового номера указать адрес или описание местоположения)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Установлено, что на указанном объекте контроля выявлены следующие нарушения обязательных требований к использованию и охране земель:</w:t>
      </w: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3300"/>
        <w:gridCol w:w="5712"/>
      </w:tblGrid>
      <w:tr w:rsidR="00C56D86" w:rsidRPr="0071055B" w:rsidTr="003E5C23">
        <w:trPr>
          <w:tblHeader/>
        </w:trPr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№</w:t>
            </w:r>
          </w:p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п/п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Описание нарушения обязательных требований</w:t>
            </w:r>
          </w:p>
        </w:tc>
        <w:tc>
          <w:tcPr>
            <w:tcW w:w="5712" w:type="dxa"/>
            <w:tcMar>
              <w:top w:w="121" w:type="dxa"/>
              <w:left w:w="0" w:type="dxa"/>
              <w:bottom w:w="121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Нормативный правовой акт, содержащий нарушенное требование (реквизиты, структурная единица)</w:t>
            </w:r>
          </w:p>
        </w:tc>
      </w:tr>
      <w:tr w:rsidR="00C56D86" w:rsidRPr="0071055B" w:rsidTr="003E5C2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56D86" w:rsidRPr="0071055B" w:rsidTr="003E5C2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56D86" w:rsidRPr="0071055B" w:rsidTr="003E5C23">
        <w:tc>
          <w:tcPr>
            <w:tcW w:w="0" w:type="auto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...</w:t>
            </w:r>
          </w:p>
        </w:tc>
        <w:tc>
          <w:tcPr>
            <w:tcW w:w="0" w:type="auto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712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На основании изложенного и руководствуясь: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0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Статьей 90.1 Федерального закона от 31 июля 2020 г. №248-ФЗ «О государственном контроле (надзоре) и муниципальном контроле в Российской Федерации»;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0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Пунктом 4 статьи 72 Земельного кодекса Российской Федерации;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ПРЕДПИСЫВАЮ:</w:t>
      </w:r>
    </w:p>
    <w:p w:rsidR="00C56D86" w:rsidRPr="0071055B" w:rsidRDefault="00C56D86" w:rsidP="00A16438">
      <w:pPr>
        <w:pStyle w:val="1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Устранить выявленные нарушения, указанные в таблице настоящего предписания, в установленные сроки:</w:t>
      </w:r>
    </w:p>
    <w:tbl>
      <w:tblPr>
        <w:tblW w:w="9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3248"/>
        <w:gridCol w:w="4407"/>
      </w:tblGrid>
      <w:tr w:rsidR="00C56D86" w:rsidRPr="0071055B" w:rsidTr="003E5C23">
        <w:trPr>
          <w:tblHeader/>
        </w:trPr>
        <w:tc>
          <w:tcPr>
            <w:tcW w:w="1848" w:type="dxa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lastRenderedPageBreak/>
              <w:t>№ п/п нарушения (из таблицы)</w:t>
            </w:r>
          </w:p>
        </w:tc>
        <w:tc>
          <w:tcPr>
            <w:tcW w:w="3248" w:type="dxa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Срок устранения (конкретная дата)</w:t>
            </w:r>
          </w:p>
        </w:tc>
        <w:tc>
          <w:tcPr>
            <w:tcW w:w="4407" w:type="dxa"/>
            <w:tcMar>
              <w:top w:w="121" w:type="dxa"/>
              <w:left w:w="0" w:type="dxa"/>
              <w:bottom w:w="121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Рекомендуемые мероприятия по устранению нарушения</w:t>
            </w:r>
          </w:p>
        </w:tc>
      </w:tr>
      <w:tr w:rsidR="00C56D86" w:rsidRPr="0071055B" w:rsidTr="003E5C23">
        <w:tc>
          <w:tcPr>
            <w:tcW w:w="1848" w:type="dxa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3248" w:type="dxa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  <w:bCs/>
              </w:rPr>
              <w:t>«_» ___________ 20 г.</w:t>
            </w: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56D86" w:rsidRPr="0071055B" w:rsidTr="003E5C23">
        <w:tc>
          <w:tcPr>
            <w:tcW w:w="1848" w:type="dxa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3248" w:type="dxa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  <w:bCs/>
              </w:rPr>
              <w:t>«_» ___________ 20 г.</w:t>
            </w: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C56D86" w:rsidRPr="0071055B" w:rsidTr="003E5C23">
        <w:tc>
          <w:tcPr>
            <w:tcW w:w="1848" w:type="dxa"/>
            <w:tcMar>
              <w:top w:w="121" w:type="dxa"/>
              <w:left w:w="0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1055B">
              <w:rPr>
                <w:rFonts w:ascii="Times New Roman" w:eastAsia="Times New Roman" w:hAnsi="Times New Roman" w:cs="Times New Roman"/>
              </w:rPr>
              <w:t>...</w:t>
            </w:r>
          </w:p>
        </w:tc>
        <w:tc>
          <w:tcPr>
            <w:tcW w:w="3248" w:type="dxa"/>
            <w:tcMar>
              <w:top w:w="121" w:type="dxa"/>
              <w:left w:w="194" w:type="dxa"/>
              <w:bottom w:w="121" w:type="dxa"/>
              <w:right w:w="194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407" w:type="dxa"/>
            <w:tcMar>
              <w:top w:w="121" w:type="dxa"/>
              <w:left w:w="194" w:type="dxa"/>
              <w:bottom w:w="121" w:type="dxa"/>
              <w:right w:w="0" w:type="dxa"/>
            </w:tcMar>
            <w:vAlign w:val="center"/>
            <w:hideMark/>
          </w:tcPr>
          <w:p w:rsidR="00C56D86" w:rsidRPr="0071055B" w:rsidRDefault="00C56D86" w:rsidP="00710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56D86" w:rsidRPr="0071055B" w:rsidRDefault="00C56D86" w:rsidP="00A16438">
      <w:pPr>
        <w:pStyle w:val="1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Представить в отдел имущественных и земельных отношений Окружной Администрации Городского округа «</w:t>
      </w:r>
      <w:proofErr w:type="spellStart"/>
      <w:r w:rsidRPr="0071055B">
        <w:rPr>
          <w:color w:val="auto"/>
          <w:sz w:val="22"/>
          <w:szCs w:val="22"/>
        </w:rPr>
        <w:t>Жатай</w:t>
      </w:r>
      <w:proofErr w:type="spellEnd"/>
      <w:r w:rsidRPr="0071055B">
        <w:rPr>
          <w:color w:val="auto"/>
          <w:sz w:val="22"/>
          <w:szCs w:val="22"/>
        </w:rPr>
        <w:t>» документы, подтверждающие устранение нарушений, не позднее 5 (пяти) рабочих дней со дня истечения срока, указанного для устранения соответствующего нарушения.</w:t>
      </w:r>
    </w:p>
    <w:p w:rsidR="00C56D86" w:rsidRPr="0071055B" w:rsidRDefault="00C56D86" w:rsidP="00A16438">
      <w:pPr>
        <w:pStyle w:val="1"/>
        <w:numPr>
          <w:ilvl w:val="0"/>
          <w:numId w:val="20"/>
        </w:numPr>
        <w:tabs>
          <w:tab w:val="left" w:pos="284"/>
        </w:tabs>
        <w:ind w:left="0" w:firstLine="0"/>
        <w:jc w:val="both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Перечень рекомендуемых документов для подтверждения:</w:t>
      </w:r>
    </w:p>
    <w:p w:rsidR="00C56D86" w:rsidRPr="0071055B" w:rsidRDefault="00A16438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pict>
          <v:rect id="_x0000_i1025" style="width:0;height:.6pt" o:hralign="center" o:hrstd="t" o:hr="t" fillcolor="#a0a0a0" stroked="f"/>
        </w:pict>
      </w:r>
    </w:p>
    <w:p w:rsidR="00C56D86" w:rsidRPr="0071055B" w:rsidRDefault="00A16438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pict>
          <v:rect id="_x0000_i1026" style="width:0;height:.6pt" o:hralign="center" o:hrstd="t" o:hr="t" fillcolor="#a0a0a0" stroked="f"/>
        </w:pict>
      </w:r>
    </w:p>
    <w:p w:rsidR="00C56D86" w:rsidRPr="0071055B" w:rsidRDefault="00A16438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pict>
          <v:rect id="_x0000_i1027" style="width:0;height:.6pt" o:hralign="center" o:hrstd="t" o:hr="t" fillcolor="#a0a0a0" stroked="f"/>
        </w:pic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t>Последствия неисполнения предписания: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Неисполнение настоящего предписания в установленный срок влечет применение мер, предусмотренных законодательством Российской Федерации, в том числе: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0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привлечение к административной ответственности по части 1 статьи 19.5 Кодекса Российской Федерации об административных правонарушениях;</w:t>
      </w:r>
    </w:p>
    <w:p w:rsidR="00C56D86" w:rsidRPr="0071055B" w:rsidRDefault="00C56D86" w:rsidP="0071055B">
      <w:pPr>
        <w:pStyle w:val="3"/>
        <w:numPr>
          <w:ilvl w:val="0"/>
          <w:numId w:val="19"/>
        </w:numPr>
        <w:ind w:left="0" w:firstLine="0"/>
        <w:rPr>
          <w:color w:val="auto"/>
          <w:sz w:val="22"/>
          <w:szCs w:val="22"/>
        </w:rPr>
      </w:pPr>
      <w:r w:rsidRPr="0071055B">
        <w:rPr>
          <w:color w:val="auto"/>
          <w:sz w:val="22"/>
          <w:szCs w:val="22"/>
        </w:rPr>
        <w:t>обращение в суд с заявлением о принудительном исполнении предписания.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Должностное лицо, выдавшее предписание: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_____________________________ / _________________________ /</w:t>
      </w:r>
      <w:r w:rsidRPr="0071055B">
        <w:rPr>
          <w:rFonts w:ascii="Times New Roman" w:eastAsia="Times New Roman" w:hAnsi="Times New Roman" w:cs="Times New Roman"/>
        </w:rPr>
        <w:br/>
        <w:t>(подпись)</w:t>
      </w:r>
      <w:r w:rsidRPr="0071055B">
        <w:rPr>
          <w:rFonts w:ascii="Times New Roman" w:eastAsia="Times New Roman" w:hAnsi="Times New Roman" w:cs="Times New Roman"/>
        </w:rPr>
        <w:tab/>
      </w:r>
      <w:r w:rsidRPr="0071055B">
        <w:rPr>
          <w:rFonts w:ascii="Times New Roman" w:eastAsia="Times New Roman" w:hAnsi="Times New Roman" w:cs="Times New Roman"/>
        </w:rPr>
        <w:tab/>
      </w:r>
      <w:r w:rsidRPr="0071055B">
        <w:rPr>
          <w:rFonts w:ascii="Times New Roman" w:eastAsia="Times New Roman" w:hAnsi="Times New Roman" w:cs="Times New Roman"/>
        </w:rPr>
        <w:tab/>
      </w:r>
      <w:r w:rsidRPr="0071055B">
        <w:rPr>
          <w:rFonts w:ascii="Times New Roman" w:eastAsia="Times New Roman" w:hAnsi="Times New Roman" w:cs="Times New Roman"/>
        </w:rPr>
        <w:tab/>
        <w:t xml:space="preserve"> (Фамилия И.О.)</w:t>
      </w:r>
    </w:p>
    <w:p w:rsidR="00C56D86" w:rsidRPr="0071055B" w:rsidRDefault="00C56D86" w:rsidP="0071055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М.П.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71055B">
        <w:rPr>
          <w:rFonts w:ascii="Times New Roman" w:eastAsia="Times New Roman" w:hAnsi="Times New Roman" w:cs="Times New Roman"/>
          <w:bCs/>
        </w:rPr>
        <w:t>Предписание получил(а):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___________________________ / ___________________________ /</w:t>
      </w:r>
      <w:r w:rsidRPr="0071055B">
        <w:rPr>
          <w:rFonts w:ascii="Times New Roman" w:eastAsia="Times New Roman" w:hAnsi="Times New Roman" w:cs="Times New Roman"/>
        </w:rPr>
        <w:br/>
        <w:t>(подпись) (Фамилия И.О., должность)</w:t>
      </w:r>
      <w:r w:rsidRPr="0071055B">
        <w:rPr>
          <w:rFonts w:ascii="Times New Roman" w:eastAsia="Times New Roman" w:hAnsi="Times New Roman" w:cs="Times New Roman"/>
        </w:rPr>
        <w:br/>
        <w:t>«_</w:t>
      </w:r>
      <w:r w:rsidRPr="0071055B">
        <w:rPr>
          <w:rFonts w:ascii="Times New Roman" w:eastAsia="Times New Roman" w:hAnsi="Times New Roman" w:cs="Times New Roman"/>
          <w:bCs/>
        </w:rPr>
        <w:t>» ___________ 20</w:t>
      </w:r>
      <w:r w:rsidRPr="0071055B">
        <w:rPr>
          <w:rFonts w:ascii="Times New Roman" w:eastAsia="Times New Roman" w:hAnsi="Times New Roman" w:cs="Times New Roman"/>
        </w:rPr>
        <w:t> г.</w:t>
      </w:r>
    </w:p>
    <w:p w:rsidR="00C56D86" w:rsidRPr="0071055B" w:rsidRDefault="00C56D86" w:rsidP="0071055B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i/>
          <w:iCs/>
        </w:rPr>
        <w:t>(</w:t>
      </w:r>
      <w:proofErr w:type="gramStart"/>
      <w:r w:rsidRPr="0071055B">
        <w:rPr>
          <w:rFonts w:ascii="Times New Roman" w:eastAsia="Times New Roman" w:hAnsi="Times New Roman" w:cs="Times New Roman"/>
          <w:i/>
          <w:iCs/>
        </w:rPr>
        <w:t>В</w:t>
      </w:r>
      <w:proofErr w:type="gramEnd"/>
      <w:r w:rsidRPr="0071055B">
        <w:rPr>
          <w:rFonts w:ascii="Times New Roman" w:eastAsia="Times New Roman" w:hAnsi="Times New Roman" w:cs="Times New Roman"/>
          <w:i/>
          <w:iCs/>
        </w:rPr>
        <w:t xml:space="preserve"> случае отказа от получения предписания или невозможности его подписать делается соответствующая отметка)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Оборотная сторона предписания или приложение к нему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Разъяснение порядка обжалования:</w:t>
      </w:r>
    </w:p>
    <w:p w:rsidR="00C56D86" w:rsidRPr="0071055B" w:rsidRDefault="00C56D86" w:rsidP="0071055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Настоящее предписание может быть обжаловано в досудебном (внесудебном) порядке в соответствии с главой 9 Федерального закона от 31 июля 2020 г. №248-ФЗ «О государственном контроле (надзоре) и муниципальном контроле в Российской Федерации».</w:t>
      </w:r>
    </w:p>
    <w:p w:rsidR="00C56D86" w:rsidRPr="0071055B" w:rsidRDefault="00C56D86" w:rsidP="00A16438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bookmarkStart w:id="0" w:name="_GoBack"/>
      <w:r w:rsidRPr="0071055B">
        <w:rPr>
          <w:rFonts w:ascii="Times New Roman" w:eastAsia="Times New Roman" w:hAnsi="Times New Roman" w:cs="Times New Roman"/>
          <w:bCs/>
        </w:rPr>
        <w:t>Срок обжалования:</w:t>
      </w:r>
      <w:r w:rsidRPr="0071055B">
        <w:rPr>
          <w:rFonts w:ascii="Times New Roman" w:eastAsia="Times New Roman" w:hAnsi="Times New Roman" w:cs="Times New Roman"/>
        </w:rPr>
        <w:t> Жалоба на предписание может быть подана в течение </w:t>
      </w:r>
      <w:r w:rsidRPr="0071055B">
        <w:rPr>
          <w:rFonts w:ascii="Times New Roman" w:eastAsia="Times New Roman" w:hAnsi="Times New Roman" w:cs="Times New Roman"/>
          <w:bCs/>
        </w:rPr>
        <w:t>десяти рабочих дней</w:t>
      </w:r>
      <w:r w:rsidRPr="0071055B">
        <w:rPr>
          <w:rFonts w:ascii="Times New Roman" w:eastAsia="Times New Roman" w:hAnsi="Times New Roman" w:cs="Times New Roman"/>
        </w:rPr>
        <w:t> с момента его получения (часть 6 статьи 40 Федерального закона №248-ФЗ).</w:t>
      </w:r>
    </w:p>
    <w:p w:rsidR="00C56D86" w:rsidRPr="0071055B" w:rsidRDefault="00C56D86" w:rsidP="00A16438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Порядок подачи:</w:t>
      </w:r>
      <w:r w:rsidRPr="0071055B">
        <w:rPr>
          <w:rFonts w:ascii="Times New Roman" w:eastAsia="Times New Roman" w:hAnsi="Times New Roman" w:cs="Times New Roman"/>
        </w:rPr>
        <w:t> Жалоба подается в электронном виде с использованием единого портала государственных и муниципальных услуг (</w:t>
      </w:r>
      <w:hyperlink r:id="rId6" w:tgtFrame="_blank" w:history="1">
        <w:r w:rsidRPr="0071055B">
          <w:rPr>
            <w:rFonts w:ascii="Times New Roman" w:eastAsia="Times New Roman" w:hAnsi="Times New Roman" w:cs="Times New Roman"/>
          </w:rPr>
          <w:t>gosuslugi.ru</w:t>
        </w:r>
      </w:hyperlink>
      <w:r w:rsidRPr="0071055B">
        <w:rPr>
          <w:rFonts w:ascii="Times New Roman" w:eastAsia="Times New Roman" w:hAnsi="Times New Roman" w:cs="Times New Roman"/>
        </w:rPr>
        <w:t>), за исключением случаев, когда она содержит сведения, составляющие охраняемую законом тайну.</w:t>
      </w:r>
    </w:p>
    <w:p w:rsidR="00C56D86" w:rsidRPr="0071055B" w:rsidRDefault="00C56D86" w:rsidP="00A16438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Орган, уполномоченный на рассмотрение:</w:t>
      </w:r>
      <w:r w:rsidRPr="0071055B">
        <w:rPr>
          <w:rFonts w:ascii="Times New Roman" w:eastAsia="Times New Roman" w:hAnsi="Times New Roman" w:cs="Times New Roman"/>
        </w:rPr>
        <w:t> Жалоба рассматривается руководителем (заместителем руководителя) отдела имущественных и земельных отношений Окружной Администрации Городского округа «</w:t>
      </w:r>
      <w:proofErr w:type="spellStart"/>
      <w:r w:rsidRPr="0071055B">
        <w:rPr>
          <w:rFonts w:ascii="Times New Roman" w:eastAsia="Times New Roman" w:hAnsi="Times New Roman" w:cs="Times New Roman"/>
        </w:rPr>
        <w:t>Жатай</w:t>
      </w:r>
      <w:proofErr w:type="spellEnd"/>
      <w:r w:rsidRPr="0071055B">
        <w:rPr>
          <w:rFonts w:ascii="Times New Roman" w:eastAsia="Times New Roman" w:hAnsi="Times New Roman" w:cs="Times New Roman"/>
        </w:rPr>
        <w:t>».</w:t>
      </w:r>
    </w:p>
    <w:p w:rsidR="00C56D86" w:rsidRPr="0071055B" w:rsidRDefault="00C56D86" w:rsidP="00A16438">
      <w:pPr>
        <w:numPr>
          <w:ilvl w:val="0"/>
          <w:numId w:val="1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  <w:bCs/>
        </w:rPr>
        <w:t>Срок рассмотрения:</w:t>
      </w:r>
      <w:r w:rsidRPr="0071055B">
        <w:rPr>
          <w:rFonts w:ascii="Times New Roman" w:eastAsia="Times New Roman" w:hAnsi="Times New Roman" w:cs="Times New Roman"/>
        </w:rPr>
        <w:t> Жалоба подлежит рассмотрению в течение </w:t>
      </w:r>
      <w:r w:rsidRPr="0071055B">
        <w:rPr>
          <w:rFonts w:ascii="Times New Roman" w:eastAsia="Times New Roman" w:hAnsi="Times New Roman" w:cs="Times New Roman"/>
          <w:bCs/>
        </w:rPr>
        <w:t>пятнадцати рабочих дней</w:t>
      </w:r>
      <w:r w:rsidRPr="0071055B">
        <w:rPr>
          <w:rFonts w:ascii="Times New Roman" w:eastAsia="Times New Roman" w:hAnsi="Times New Roman" w:cs="Times New Roman"/>
        </w:rPr>
        <w:t> со дня ее регистрации (часть 2 статьи 43 Федерального закона №248-ФЗ).</w:t>
      </w:r>
    </w:p>
    <w:p w:rsidR="00C56D86" w:rsidRPr="0071055B" w:rsidRDefault="00C56D86" w:rsidP="00A164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1055B">
        <w:rPr>
          <w:rFonts w:ascii="Times New Roman" w:eastAsia="Times New Roman" w:hAnsi="Times New Roman" w:cs="Times New Roman"/>
        </w:rPr>
        <w:t>Решение и (или) действие (бездействие) контрольного органа, его должностных лиц могут быть, также обжалованы в судебном порядке.</w:t>
      </w:r>
      <w:r w:rsidRPr="0071055B">
        <w:rPr>
          <w:rFonts w:ascii="Times New Roman" w:hAnsi="Times New Roman" w:cs="Times New Roman"/>
        </w:rPr>
        <w:t xml:space="preserve"> </w:t>
      </w:r>
    </w:p>
    <w:bookmarkEnd w:id="0"/>
    <w:p w:rsidR="00C56D86" w:rsidRPr="0071055B" w:rsidRDefault="00C56D86" w:rsidP="0071055B">
      <w:pPr>
        <w:spacing w:after="0" w:line="240" w:lineRule="auto"/>
        <w:jc w:val="both"/>
        <w:rPr>
          <w:rStyle w:val="a6"/>
          <w:rFonts w:ascii="Times New Roman" w:eastAsiaTheme="majorEastAsia" w:hAnsi="Times New Roman" w:cs="Times New Roman"/>
          <w:b w:val="0"/>
        </w:rPr>
      </w:pPr>
    </w:p>
    <w:p w:rsidR="00C56D86" w:rsidRPr="0071055B" w:rsidRDefault="00C56D86" w:rsidP="0071055B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</w:rPr>
      </w:pPr>
    </w:p>
    <w:sectPr w:rsidR="00C56D86" w:rsidRPr="0071055B" w:rsidSect="00C56D86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6A9D"/>
    <w:multiLevelType w:val="hybridMultilevel"/>
    <w:tmpl w:val="F1BC7FBC"/>
    <w:lvl w:ilvl="0" w:tplc="BDA04930">
      <w:start w:val="1"/>
      <w:numFmt w:val="bullet"/>
      <w:pStyle w:val="4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39F6935"/>
    <w:multiLevelType w:val="multilevel"/>
    <w:tmpl w:val="97E47E0E"/>
    <w:lvl w:ilvl="0">
      <w:start w:val="1"/>
      <w:numFmt w:val="russianLower"/>
      <w:pStyle w:val="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5723A"/>
    <w:multiLevelType w:val="multilevel"/>
    <w:tmpl w:val="A7224F6A"/>
    <w:lvl w:ilvl="0">
      <w:start w:val="1"/>
      <w:numFmt w:val="decimal"/>
      <w:lvlText w:val="%1."/>
      <w:lvlJc w:val="left"/>
      <w:pPr>
        <w:ind w:left="1429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7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4014A"/>
    <w:multiLevelType w:val="multilevel"/>
    <w:tmpl w:val="BADADC48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0" w15:restartNumberingAfterBreak="0">
    <w:nsid w:val="252713B3"/>
    <w:multiLevelType w:val="hybridMultilevel"/>
    <w:tmpl w:val="E5EEA0E2"/>
    <w:lvl w:ilvl="0" w:tplc="6E3C53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A53218"/>
    <w:multiLevelType w:val="multilevel"/>
    <w:tmpl w:val="F536A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204A5"/>
    <w:multiLevelType w:val="multilevel"/>
    <w:tmpl w:val="0CA2E6CE"/>
    <w:lvl w:ilvl="0">
      <w:start w:val="1"/>
      <w:numFmt w:val="decimal"/>
      <w:pStyle w:val="1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pStyle w:val="2"/>
      <w:isLgl/>
      <w:lvlText w:val="%1.%2."/>
      <w:lvlJc w:val="left"/>
      <w:pPr>
        <w:ind w:left="1917" w:hanging="990"/>
      </w:pPr>
      <w:rPr>
        <w:rFonts w:hint="default"/>
      </w:rPr>
    </w:lvl>
    <w:lvl w:ilvl="2">
      <w:start w:val="1"/>
      <w:numFmt w:val="decimal"/>
      <w:pStyle w:val="5"/>
      <w:isLgl/>
      <w:lvlText w:val="%1.%2.%3."/>
      <w:lvlJc w:val="left"/>
      <w:pPr>
        <w:ind w:left="1917" w:hanging="990"/>
      </w:pPr>
      <w:rPr>
        <w:rFonts w:hint="default"/>
      </w:rPr>
    </w:lvl>
    <w:lvl w:ilvl="3">
      <w:start w:val="1"/>
      <w:numFmt w:val="decimal"/>
      <w:pStyle w:val="6"/>
      <w:isLgl/>
      <w:lvlText w:val="%1.%2.%3.%4."/>
      <w:lvlJc w:val="left"/>
      <w:pPr>
        <w:ind w:left="191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6" w15:restartNumberingAfterBreak="0">
    <w:nsid w:val="4BAA72A3"/>
    <w:multiLevelType w:val="multilevel"/>
    <w:tmpl w:val="BAC84168"/>
    <w:lvl w:ilvl="0">
      <w:start w:val="1"/>
      <w:numFmt w:val="decimal"/>
      <w:pStyle w:val="9"/>
      <w:lvlText w:val="%1."/>
      <w:lvlJc w:val="left"/>
      <w:pPr>
        <w:ind w:left="1429" w:hanging="360"/>
      </w:pPr>
      <w:rPr>
        <w:rFonts w:hint="default"/>
        <w:b/>
      </w:rPr>
    </w:lvl>
    <w:lvl w:ilvl="1">
      <w:start w:val="1"/>
      <w:numFmt w:val="decimal"/>
      <w:pStyle w:val="7"/>
      <w:isLgl/>
      <w:lvlText w:val="%1.%2."/>
      <w:lvlJc w:val="left"/>
      <w:pPr>
        <w:ind w:left="2284" w:hanging="1215"/>
      </w:pPr>
      <w:rPr>
        <w:rFonts w:hint="default"/>
      </w:rPr>
    </w:lvl>
    <w:lvl w:ilvl="2">
      <w:start w:val="1"/>
      <w:numFmt w:val="decimal"/>
      <w:pStyle w:val="8"/>
      <w:isLgl/>
      <w:lvlText w:val="%1.%2.%3."/>
      <w:lvlJc w:val="left"/>
      <w:pPr>
        <w:ind w:left="2284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4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4" w:hanging="121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84" w:hanging="121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7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8"/>
  </w:num>
  <w:num w:numId="5">
    <w:abstractNumId w:val="17"/>
  </w:num>
  <w:num w:numId="6">
    <w:abstractNumId w:val="12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4"/>
  </w:num>
  <w:num w:numId="12">
    <w:abstractNumId w:val="14"/>
  </w:num>
  <w:num w:numId="13">
    <w:abstractNumId w:val="1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</w:num>
  <w:num w:numId="20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488B"/>
    <w:rsid w:val="00046B4C"/>
    <w:rsid w:val="00046DA8"/>
    <w:rsid w:val="00054FB2"/>
    <w:rsid w:val="00084858"/>
    <w:rsid w:val="00084DB7"/>
    <w:rsid w:val="000901F9"/>
    <w:rsid w:val="000B7F29"/>
    <w:rsid w:val="000C1EB5"/>
    <w:rsid w:val="000D72D9"/>
    <w:rsid w:val="000E5149"/>
    <w:rsid w:val="000F40FE"/>
    <w:rsid w:val="00103FDF"/>
    <w:rsid w:val="00127679"/>
    <w:rsid w:val="001539DC"/>
    <w:rsid w:val="00163801"/>
    <w:rsid w:val="00176141"/>
    <w:rsid w:val="00191D1B"/>
    <w:rsid w:val="00192B27"/>
    <w:rsid w:val="001975E8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1F7E21"/>
    <w:rsid w:val="00202157"/>
    <w:rsid w:val="0022317B"/>
    <w:rsid w:val="00224559"/>
    <w:rsid w:val="00230EFB"/>
    <w:rsid w:val="002357D8"/>
    <w:rsid w:val="002361CE"/>
    <w:rsid w:val="002478E9"/>
    <w:rsid w:val="002735DF"/>
    <w:rsid w:val="00282091"/>
    <w:rsid w:val="00290AEF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B677D"/>
    <w:rsid w:val="003C5066"/>
    <w:rsid w:val="003D697A"/>
    <w:rsid w:val="003E03F4"/>
    <w:rsid w:val="003F368D"/>
    <w:rsid w:val="003F5F7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499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0F37"/>
    <w:rsid w:val="006A7176"/>
    <w:rsid w:val="006B5B25"/>
    <w:rsid w:val="006B76E8"/>
    <w:rsid w:val="006C1490"/>
    <w:rsid w:val="006D2D9F"/>
    <w:rsid w:val="006D7F05"/>
    <w:rsid w:val="006E09DA"/>
    <w:rsid w:val="006E433A"/>
    <w:rsid w:val="0071055B"/>
    <w:rsid w:val="00712CDC"/>
    <w:rsid w:val="00725005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15F2"/>
    <w:rsid w:val="0081447F"/>
    <w:rsid w:val="00815DB6"/>
    <w:rsid w:val="0082184B"/>
    <w:rsid w:val="0082794B"/>
    <w:rsid w:val="0083049C"/>
    <w:rsid w:val="00832204"/>
    <w:rsid w:val="00843EDF"/>
    <w:rsid w:val="00846246"/>
    <w:rsid w:val="008521D7"/>
    <w:rsid w:val="00857D25"/>
    <w:rsid w:val="008615E4"/>
    <w:rsid w:val="00871CD9"/>
    <w:rsid w:val="008744E7"/>
    <w:rsid w:val="008A113D"/>
    <w:rsid w:val="008A4E03"/>
    <w:rsid w:val="008B0BA0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A3A02"/>
    <w:rsid w:val="009D087A"/>
    <w:rsid w:val="009D1D49"/>
    <w:rsid w:val="009D56EA"/>
    <w:rsid w:val="009E2520"/>
    <w:rsid w:val="00A04C64"/>
    <w:rsid w:val="00A16438"/>
    <w:rsid w:val="00A204A6"/>
    <w:rsid w:val="00A36B88"/>
    <w:rsid w:val="00A439EC"/>
    <w:rsid w:val="00A45A24"/>
    <w:rsid w:val="00A55689"/>
    <w:rsid w:val="00A66F74"/>
    <w:rsid w:val="00A77314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100A3"/>
    <w:rsid w:val="00B27CD4"/>
    <w:rsid w:val="00B43186"/>
    <w:rsid w:val="00B52CCA"/>
    <w:rsid w:val="00B6533D"/>
    <w:rsid w:val="00B65DC9"/>
    <w:rsid w:val="00B802D0"/>
    <w:rsid w:val="00B8235B"/>
    <w:rsid w:val="00B83CC5"/>
    <w:rsid w:val="00BA7080"/>
    <w:rsid w:val="00BB1843"/>
    <w:rsid w:val="00BB24F2"/>
    <w:rsid w:val="00BB3F45"/>
    <w:rsid w:val="00BB58BB"/>
    <w:rsid w:val="00BB5CAD"/>
    <w:rsid w:val="00BC4ADA"/>
    <w:rsid w:val="00BE70BC"/>
    <w:rsid w:val="00BF3D7D"/>
    <w:rsid w:val="00BF55F6"/>
    <w:rsid w:val="00BF7C16"/>
    <w:rsid w:val="00C14D39"/>
    <w:rsid w:val="00C15A16"/>
    <w:rsid w:val="00C3667A"/>
    <w:rsid w:val="00C37AE3"/>
    <w:rsid w:val="00C43069"/>
    <w:rsid w:val="00C43B67"/>
    <w:rsid w:val="00C468A8"/>
    <w:rsid w:val="00C50A8C"/>
    <w:rsid w:val="00C56053"/>
    <w:rsid w:val="00C56D86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52AAE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0D08E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C56D86"/>
    <w:pPr>
      <w:keepNext/>
      <w:keepLines/>
      <w:widowControl w:val="0"/>
      <w:suppressAutoHyphens/>
      <w:spacing w:before="160" w:after="80" w:line="240" w:lineRule="auto"/>
      <w:outlineLvl w:val="2"/>
    </w:pPr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Normal">
    <w:name w:val="Normal Знак"/>
    <w:basedOn w:val="a0"/>
    <w:link w:val="10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0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2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30608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06085"/>
  </w:style>
  <w:style w:type="paragraph" w:customStyle="1" w:styleId="40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"/>
    <w:rsid w:val="00811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Cell">
    <w:name w:val="ConsPlusCell"/>
    <w:rsid w:val="008115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b">
    <w:name w:val="Hyperlink"/>
    <w:uiPriority w:val="99"/>
    <w:rsid w:val="008115F2"/>
    <w:rPr>
      <w:color w:val="0000FF"/>
      <w:u w:val="single"/>
    </w:rPr>
  </w:style>
  <w:style w:type="paragraph" w:customStyle="1" w:styleId="ConsPlusNormal">
    <w:name w:val="ConsPlusNormal"/>
    <w:rsid w:val="008115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table" w:styleId="ac">
    <w:name w:val="Table Grid"/>
    <w:basedOn w:val="a1"/>
    <w:uiPriority w:val="59"/>
    <w:rsid w:val="000C1EB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Заголовок 3 Знак"/>
    <w:basedOn w:val="a0"/>
    <w:link w:val="30"/>
    <w:uiPriority w:val="9"/>
    <w:semiHidden/>
    <w:rsid w:val="00C56D86"/>
    <w:rPr>
      <w:rFonts w:ascii="Times New Roman" w:eastAsiaTheme="majorEastAsia" w:hAnsi="Times New Roman" w:cstheme="majorBidi"/>
      <w:color w:val="365F91" w:themeColor="accent1" w:themeShade="BF"/>
      <w:kern w:val="1"/>
      <w:sz w:val="28"/>
      <w:szCs w:val="28"/>
    </w:rPr>
  </w:style>
  <w:style w:type="paragraph" w:customStyle="1" w:styleId="ds-markdown-paragraph">
    <w:name w:val="ds-markdown-paragraph"/>
    <w:basedOn w:val="a"/>
    <w:link w:val="ds-markdown-paragraph0"/>
    <w:rsid w:val="00C5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ds-markdown-paragraph"/>
    <w:link w:val="11"/>
    <w:qFormat/>
    <w:rsid w:val="00C56D86"/>
    <w:pPr>
      <w:numPr>
        <w:numId w:val="13"/>
      </w:numPr>
      <w:shd w:val="clear" w:color="auto" w:fill="FFFFFF"/>
      <w:spacing w:before="0" w:beforeAutospacing="0" w:after="0" w:afterAutospacing="0"/>
      <w:jc w:val="center"/>
    </w:pPr>
    <w:rPr>
      <w:color w:val="0F1115"/>
    </w:rPr>
  </w:style>
  <w:style w:type="paragraph" w:customStyle="1" w:styleId="2">
    <w:name w:val="Стиль2"/>
    <w:basedOn w:val="ds-markdown-paragraph"/>
    <w:link w:val="23"/>
    <w:qFormat/>
    <w:rsid w:val="00C56D86"/>
    <w:pPr>
      <w:numPr>
        <w:ilvl w:val="1"/>
        <w:numId w:val="13"/>
      </w:numPr>
      <w:shd w:val="clear" w:color="auto" w:fill="FFFFFF"/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ds-markdown-paragraph0">
    <w:name w:val="ds-markdown-paragraph Знак"/>
    <w:basedOn w:val="a0"/>
    <w:link w:val="ds-markdown-paragraph"/>
    <w:rsid w:val="00C56D86"/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Стиль1 Знак"/>
    <w:basedOn w:val="ds-markdown-paragraph0"/>
    <w:link w:val="1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3">
    <w:name w:val="Стиль3"/>
    <w:basedOn w:val="ds-markdown-paragraph"/>
    <w:link w:val="33"/>
    <w:qFormat/>
    <w:rsid w:val="00C56D86"/>
    <w:pPr>
      <w:numPr>
        <w:numId w:val="11"/>
      </w:numPr>
      <w:shd w:val="clear" w:color="auto" w:fill="FFFFFF"/>
      <w:tabs>
        <w:tab w:val="clear" w:pos="720"/>
      </w:tabs>
      <w:spacing w:before="0" w:beforeAutospacing="0" w:after="0" w:afterAutospacing="0"/>
      <w:ind w:left="0" w:firstLine="709"/>
      <w:jc w:val="both"/>
    </w:pPr>
    <w:rPr>
      <w:color w:val="0F1115"/>
    </w:rPr>
  </w:style>
  <w:style w:type="character" w:customStyle="1" w:styleId="23">
    <w:name w:val="Стиль2 Знак"/>
    <w:basedOn w:val="ds-markdown-paragraph0"/>
    <w:link w:val="2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4">
    <w:name w:val="Стиль4"/>
    <w:basedOn w:val="a5"/>
    <w:link w:val="41"/>
    <w:qFormat/>
    <w:rsid w:val="00C56D86"/>
    <w:pPr>
      <w:widowControl w:val="0"/>
      <w:numPr>
        <w:numId w:val="15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33">
    <w:name w:val="Стиль3 Знак"/>
    <w:basedOn w:val="ds-markdown-paragraph0"/>
    <w:link w:val="3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5">
    <w:name w:val="Стиль5"/>
    <w:basedOn w:val="a5"/>
    <w:link w:val="50"/>
    <w:qFormat/>
    <w:rsid w:val="00C56D86"/>
    <w:pPr>
      <w:widowControl w:val="0"/>
      <w:numPr>
        <w:ilvl w:val="2"/>
        <w:numId w:val="13"/>
      </w:numPr>
      <w:suppressAutoHyphens/>
      <w:spacing w:after="0" w:line="240" w:lineRule="auto"/>
      <w:ind w:left="0" w:firstLine="709"/>
      <w:jc w:val="both"/>
    </w:pPr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41">
    <w:name w:val="Стиль4 Знак"/>
    <w:basedOn w:val="a0"/>
    <w:link w:val="4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6">
    <w:name w:val="Стиль6"/>
    <w:basedOn w:val="a5"/>
    <w:link w:val="60"/>
    <w:qFormat/>
    <w:rsid w:val="00C56D86"/>
    <w:pPr>
      <w:widowControl w:val="0"/>
      <w:numPr>
        <w:ilvl w:val="3"/>
        <w:numId w:val="13"/>
      </w:numPr>
      <w:suppressAutoHyphens/>
      <w:spacing w:after="0" w:line="240" w:lineRule="auto"/>
      <w:ind w:left="0" w:firstLine="709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50">
    <w:name w:val="Стиль5 Знак"/>
    <w:basedOn w:val="a0"/>
    <w:link w:val="5"/>
    <w:rsid w:val="00C56D86"/>
    <w:rPr>
      <w:rFonts w:ascii="Times New Roman" w:eastAsia="Lucida Sans Unicode" w:hAnsi="Times New Roman" w:cs="Times New Roman"/>
      <w:color w:val="0F1115"/>
      <w:kern w:val="1"/>
      <w:sz w:val="24"/>
      <w:szCs w:val="24"/>
    </w:rPr>
  </w:style>
  <w:style w:type="character" w:customStyle="1" w:styleId="60">
    <w:name w:val="Стиль6 Знак"/>
    <w:basedOn w:val="a0"/>
    <w:link w:val="6"/>
    <w:rsid w:val="00C56D86"/>
    <w:rPr>
      <w:rFonts w:ascii="Times New Roman" w:eastAsia="Lucida Sans Unicode" w:hAnsi="Times New Roman" w:cs="Times New Roman"/>
      <w:kern w:val="1"/>
      <w:sz w:val="24"/>
      <w:szCs w:val="24"/>
    </w:rPr>
  </w:style>
  <w:style w:type="paragraph" w:customStyle="1" w:styleId="7">
    <w:name w:val="Стиль7"/>
    <w:basedOn w:val="1"/>
    <w:link w:val="70"/>
    <w:qFormat/>
    <w:rsid w:val="00C56D86"/>
    <w:pPr>
      <w:numPr>
        <w:ilvl w:val="1"/>
        <w:numId w:val="23"/>
      </w:numPr>
      <w:jc w:val="both"/>
    </w:pPr>
  </w:style>
  <w:style w:type="paragraph" w:customStyle="1" w:styleId="8">
    <w:name w:val="Стиль8"/>
    <w:basedOn w:val="7"/>
    <w:link w:val="80"/>
    <w:qFormat/>
    <w:rsid w:val="00C56D86"/>
    <w:pPr>
      <w:numPr>
        <w:ilvl w:val="2"/>
      </w:numPr>
      <w:ind w:left="0" w:firstLine="709"/>
    </w:pPr>
  </w:style>
  <w:style w:type="character" w:customStyle="1" w:styleId="70">
    <w:name w:val="Стиль7 Знак"/>
    <w:basedOn w:val="11"/>
    <w:link w:val="7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paragraph" w:customStyle="1" w:styleId="9">
    <w:name w:val="Стиль9"/>
    <w:basedOn w:val="1"/>
    <w:link w:val="90"/>
    <w:qFormat/>
    <w:rsid w:val="00C56D86"/>
    <w:pPr>
      <w:numPr>
        <w:numId w:val="23"/>
      </w:numPr>
      <w:ind w:left="0" w:firstLine="709"/>
    </w:pPr>
    <w:rPr>
      <w:rFonts w:eastAsiaTheme="majorEastAsia"/>
    </w:rPr>
  </w:style>
  <w:style w:type="character" w:customStyle="1" w:styleId="80">
    <w:name w:val="Стиль8 Знак"/>
    <w:basedOn w:val="70"/>
    <w:link w:val="8"/>
    <w:rsid w:val="00C56D86"/>
    <w:rPr>
      <w:rFonts w:ascii="Times New Roman" w:eastAsia="Times New Roman" w:hAnsi="Times New Roman" w:cs="Times New Roman"/>
      <w:color w:val="0F1115"/>
      <w:sz w:val="24"/>
      <w:szCs w:val="24"/>
      <w:shd w:val="clear" w:color="auto" w:fill="FFFFFF"/>
    </w:rPr>
  </w:style>
  <w:style w:type="character" w:customStyle="1" w:styleId="90">
    <w:name w:val="Стиль9 Знак"/>
    <w:basedOn w:val="11"/>
    <w:link w:val="9"/>
    <w:rsid w:val="00C56D86"/>
    <w:rPr>
      <w:rFonts w:ascii="Times New Roman" w:eastAsiaTheme="majorEastAsia" w:hAnsi="Times New Roman" w:cs="Times New Roman"/>
      <w:color w:val="0F1115"/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suslugi.ru/" TargetMode="Externa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13</Pages>
  <Words>6126</Words>
  <Characters>34923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8</cp:revision>
  <cp:lastPrinted>2026-06-23T05:54:00Z</cp:lastPrinted>
  <dcterms:created xsi:type="dcterms:W3CDTF">2026-06-17T00:52:00Z</dcterms:created>
  <dcterms:modified xsi:type="dcterms:W3CDTF">2026-06-25T01:07:00Z</dcterms:modified>
</cp:coreProperties>
</file>